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Аннотация</w:t>
      </w:r>
    </w:p>
    <w:p>
      <w:pPr>
        <w:pStyle w:val="Normal.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TNR 14 1.5"/>
      </w:pPr>
      <w:r>
        <w:rPr>
          <w:rtl w:val="0"/>
          <w:lang w:val="ru-RU"/>
        </w:rPr>
        <w:t xml:space="preserve">54 </w:t>
      </w:r>
      <w:r>
        <w:rPr>
          <w:rtl w:val="0"/>
          <w:lang w:val="ru-RU"/>
        </w:rPr>
        <w:t>стр</w:t>
      </w:r>
      <w:r>
        <w:rPr>
          <w:rtl w:val="0"/>
          <w:lang w:val="ru-RU"/>
        </w:rPr>
        <w:t xml:space="preserve">., 16 </w:t>
      </w:r>
      <w:r>
        <w:rPr>
          <w:rtl w:val="0"/>
          <w:lang w:val="ru-RU"/>
        </w:rPr>
        <w:t>источников</w:t>
      </w:r>
      <w:r>
        <w:rPr>
          <w:rtl w:val="0"/>
          <w:lang w:val="ru-RU"/>
        </w:rPr>
        <w:t xml:space="preserve">, 6 </w:t>
      </w:r>
      <w:r>
        <w:rPr>
          <w:rtl w:val="0"/>
          <w:lang w:val="ru-RU"/>
        </w:rPr>
        <w:t>табл</w:t>
      </w:r>
      <w:r>
        <w:rPr>
          <w:rtl w:val="0"/>
          <w:lang w:val="ru-RU"/>
        </w:rPr>
        <w:t xml:space="preserve">., 6 </w:t>
      </w:r>
      <w:r>
        <w:rPr>
          <w:rtl w:val="0"/>
          <w:lang w:val="ru-RU"/>
        </w:rPr>
        <w:t>рис</w:t>
      </w:r>
      <w:r>
        <w:rPr>
          <w:rtl w:val="0"/>
          <w:lang w:val="ru-RU"/>
        </w:rPr>
        <w:t xml:space="preserve">., 4 </w:t>
      </w:r>
      <w:r>
        <w:rPr>
          <w:rtl w:val="0"/>
          <w:lang w:val="ru-RU"/>
        </w:rPr>
        <w:t>приложения</w:t>
      </w:r>
      <w:r>
        <w:rPr>
          <w:rtl w:val="0"/>
          <w:lang w:val="ru-RU"/>
        </w:rPr>
        <w:t xml:space="preserve">. </w:t>
      </w:r>
    </w:p>
    <w:p>
      <w:pPr>
        <w:pStyle w:val="TNR 14 1.5"/>
      </w:pPr>
      <w:r>
        <w:rPr>
          <w:rtl w:val="0"/>
          <w:lang w:val="ru-RU"/>
        </w:rPr>
        <w:t>Рассмотрены вопросы обеспечения комплексной защиты информации в условиях службы Одного окна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Определен перечень защищаемых информационных активов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проведена идентификация рисков информационной безопасности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Предложены меры по совершенствованию системы защиты информации</w:t>
      </w:r>
      <w:r>
        <w:rPr>
          <w:rtl w:val="0"/>
          <w:lang w:val="ru-RU"/>
        </w:rPr>
        <w:t>.</w:t>
      </w:r>
    </w:p>
    <w:p>
      <w:pPr>
        <w:pStyle w:val="TNR 14 1.5"/>
      </w:pPr>
    </w:p>
    <w:p>
      <w:pPr>
        <w:pStyle w:val="Normal.0"/>
        <w:spacing w:after="200" w:line="276" w:lineRule="auto"/>
        <w:ind w:firstLine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28"/>
          <w:szCs w:val="28"/>
        </w:rPr>
        <w:br w:type="page"/>
      </w:r>
    </w:p>
    <w:p>
      <w:pPr>
        <w:pStyle w:val="Normal.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Содержание</w:t>
      </w:r>
    </w:p>
    <w:p>
      <w:pPr>
        <w:pStyle w:val="TOC Heading"/>
      </w:pPr>
    </w:p>
    <w:p>
      <w:pPr>
        <w:pStyle w:val="Normal.0"/>
        <w:ind w:firstLine="0"/>
        <w:jc w:val="both"/>
      </w:pPr>
      <w:r>
        <w:rPr/>
        <w:fldChar w:fldCharType="begin" w:fldLock="0"/>
      </w:r>
      <w:r>
        <w:instrText xml:space="preserve"> TOC \t "heading 1, 1,heading 2, 2,диплом заголовок 2, 3"</w:instrText>
      </w:r>
      <w:r>
        <w:rPr/>
        <w:fldChar w:fldCharType="separate" w:fldLock="0"/>
      </w:r>
    </w:p>
    <w:p>
      <w:pPr>
        <w:pStyle w:val="TOC 1"/>
      </w:pPr>
      <w:r>
        <w:rPr>
          <w:rFonts w:cs="Arial Unicode MS" w:eastAsia="Arial Unicode MS" w:hint="default"/>
          <w:rtl w:val="0"/>
        </w:rPr>
        <w:t>Введение</w:t>
        <w:tab/>
      </w:r>
      <w:r>
        <w:rPr/>
        <w:fldChar w:fldCharType="begin" w:fldLock="0"/>
      </w:r>
      <w:r>
        <w:instrText xml:space="preserve"> PAGEREF _Toc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4</w:t>
      </w:r>
      <w:r>
        <w:rPr/>
        <w:fldChar w:fldCharType="end" w:fldLock="0"/>
      </w:r>
    </w:p>
    <w:p>
      <w:pPr>
        <w:pStyle w:val="TOC 1"/>
      </w:pPr>
      <w:r>
        <w:rPr>
          <w:rFonts w:cs="Arial Unicode MS" w:eastAsia="Arial Unicode MS" w:hint="default"/>
          <w:rtl w:val="0"/>
        </w:rPr>
        <w:t>I Аналитическая часть</w:t>
        <w:tab/>
      </w:r>
      <w:r>
        <w:rPr/>
        <w:fldChar w:fldCharType="begin" w:fldLock="0"/>
      </w:r>
      <w:r>
        <w:instrText xml:space="preserve"> PAGEREF _Toc1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6</w:t>
      </w:r>
      <w:r>
        <w:rPr/>
        <w:fldChar w:fldCharType="end" w:fldLock="0"/>
      </w:r>
    </w:p>
    <w:p>
      <w:pPr>
        <w:pStyle w:val="TOC 1"/>
      </w:pPr>
      <w:r>
        <w:rPr>
          <w:rFonts w:cs="Arial Unicode MS" w:eastAsia="Arial Unicode MS" w:hint="default"/>
          <w:rtl w:val="0"/>
        </w:rPr>
        <w:t>1.1. Технико-экономическая характеристика предметной области и предприятия</w:t>
        <w:tab/>
      </w:r>
      <w:r>
        <w:rPr/>
        <w:fldChar w:fldCharType="begin" w:fldLock="0"/>
      </w:r>
      <w:r>
        <w:instrText xml:space="preserve"> PAGEREF _Toc2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6</w:t>
      </w:r>
      <w:r>
        <w:rPr/>
        <w:fldChar w:fldCharType="end" w:fldLock="0"/>
      </w:r>
    </w:p>
    <w:p>
      <w:pPr>
        <w:pStyle w:val="TOC 1"/>
      </w:pPr>
      <w:r>
        <w:rPr>
          <w:rFonts w:cs="Arial Unicode MS" w:eastAsia="Arial Unicode MS" w:hint="default"/>
          <w:rtl w:val="0"/>
        </w:rPr>
        <w:t>1.2. Анализ рисков информационной безопасности</w:t>
        <w:tab/>
      </w:r>
      <w:r>
        <w:rPr/>
        <w:fldChar w:fldCharType="begin" w:fldLock="0"/>
      </w:r>
      <w:r>
        <w:instrText xml:space="preserve"> PAGEREF _Toc3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9</w:t>
      </w:r>
      <w:r>
        <w:rPr/>
        <w:fldChar w:fldCharType="end" w:fldLock="0"/>
      </w:r>
    </w:p>
    <w:p>
      <w:pPr>
        <w:pStyle w:val="TOC 1"/>
      </w:pPr>
      <w:r>
        <w:rPr>
          <w:rFonts w:cs="Arial Unicode MS" w:eastAsia="Arial Unicode MS" w:hint="default"/>
          <w:rtl w:val="0"/>
        </w:rPr>
        <w:t>1.2.1. Идентификация и оценка информационных активов</w:t>
        <w:tab/>
      </w:r>
      <w:r>
        <w:rPr/>
        <w:fldChar w:fldCharType="begin" w:fldLock="0"/>
      </w:r>
      <w:r>
        <w:instrText xml:space="preserve"> PAGEREF _Toc4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9</w:t>
      </w:r>
      <w:r>
        <w:rPr/>
        <w:fldChar w:fldCharType="end" w:fldLock="0"/>
      </w:r>
    </w:p>
    <w:p>
      <w:pPr>
        <w:pStyle w:val="TOC 1"/>
      </w:pPr>
      <w:r>
        <w:rPr>
          <w:rFonts w:cs="Arial Unicode MS" w:eastAsia="Arial Unicode MS" w:hint="default"/>
          <w:rtl w:val="0"/>
        </w:rPr>
        <w:t>1.2.2. Оценка уязвимостей активов</w:t>
        <w:tab/>
      </w:r>
      <w:r>
        <w:rPr/>
        <w:fldChar w:fldCharType="begin" w:fldLock="0"/>
      </w:r>
      <w:r>
        <w:instrText xml:space="preserve"> PAGEREF _Toc5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18</w:t>
      </w:r>
      <w:r>
        <w:rPr/>
        <w:fldChar w:fldCharType="end" w:fldLock="0"/>
      </w:r>
    </w:p>
    <w:p>
      <w:pPr>
        <w:pStyle w:val="TOC 3"/>
      </w:pPr>
      <w:r>
        <w:rPr>
          <w:rFonts w:cs="Arial Unicode MS" w:eastAsia="Arial Unicode MS" w:hint="default"/>
          <w:rtl w:val="0"/>
        </w:rPr>
        <w:t>1.3.Характеристика комплекса задач, задачи и обоснование необходимости совершенствования системы обеспечения информационной безопасности и защиты информации на предприятии</w:t>
        <w:tab/>
      </w:r>
      <w:r>
        <w:rPr/>
        <w:fldChar w:fldCharType="begin" w:fldLock="0"/>
      </w:r>
      <w:r>
        <w:instrText xml:space="preserve"> PAGEREF _Toc6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24</w:t>
      </w:r>
      <w:r>
        <w:rPr/>
        <w:fldChar w:fldCharType="end" w:fldLock="0"/>
      </w:r>
    </w:p>
    <w:p>
      <w:pPr>
        <w:pStyle w:val="TOC 1"/>
      </w:pPr>
      <w:r>
        <w:rPr>
          <w:rFonts w:cs="Arial Unicode MS" w:eastAsia="Arial Unicode MS" w:hint="default"/>
          <w:rtl w:val="0"/>
        </w:rPr>
        <w:t>1.4.Выбор защитных мер</w:t>
        <w:tab/>
      </w:r>
      <w:r>
        <w:rPr/>
        <w:fldChar w:fldCharType="begin" w:fldLock="0"/>
      </w:r>
      <w:r>
        <w:instrText xml:space="preserve"> PAGEREF _Toc7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25</w:t>
      </w:r>
      <w:r>
        <w:rPr/>
        <w:fldChar w:fldCharType="end" w:fldLock="0"/>
      </w:r>
    </w:p>
    <w:p>
      <w:pPr>
        <w:pStyle w:val="TOC 1"/>
      </w:pPr>
      <w:r>
        <w:rPr>
          <w:rFonts w:cs="Arial Unicode MS" w:eastAsia="Arial Unicode MS" w:hint="default"/>
          <w:rtl w:val="0"/>
        </w:rPr>
        <w:t>1.4.1.Выбор организационных мер</w:t>
        <w:tab/>
      </w:r>
      <w:r>
        <w:rPr/>
        <w:fldChar w:fldCharType="begin" w:fldLock="0"/>
      </w:r>
      <w:r>
        <w:instrText xml:space="preserve"> PAGEREF _Toc8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25</w:t>
      </w:r>
      <w:r>
        <w:rPr/>
        <w:fldChar w:fldCharType="end" w:fldLock="0"/>
      </w:r>
    </w:p>
    <w:p>
      <w:pPr>
        <w:pStyle w:val="TOC 3"/>
      </w:pPr>
      <w:r>
        <w:rPr>
          <w:rFonts w:cs="Arial Unicode MS" w:eastAsia="Arial Unicode MS" w:hint="default"/>
          <w:rtl w:val="0"/>
        </w:rPr>
        <w:t>1.4.2.Выбор инженерно-технических мер</w:t>
        <w:tab/>
      </w:r>
      <w:r>
        <w:rPr/>
        <w:fldChar w:fldCharType="begin" w:fldLock="0"/>
      </w:r>
      <w:r>
        <w:instrText xml:space="preserve"> PAGEREF _Toc9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29</w:t>
      </w:r>
      <w:r>
        <w:rPr/>
        <w:fldChar w:fldCharType="end" w:fldLock="0"/>
      </w:r>
    </w:p>
    <w:p>
      <w:pPr>
        <w:pStyle w:val="TOC 1"/>
      </w:pPr>
      <w:r>
        <w:rPr>
          <w:rFonts w:cs="Arial Unicode MS" w:eastAsia="Arial Unicode MS" w:hint="default"/>
          <w:rtl w:val="0"/>
        </w:rPr>
        <w:t>Глава 2. Аналитическая часть</w:t>
        <w:tab/>
      </w:r>
      <w:r>
        <w:rPr/>
        <w:fldChar w:fldCharType="begin" w:fldLock="0"/>
      </w:r>
      <w:r>
        <w:instrText xml:space="preserve"> PAGEREF _Toc10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32</w:t>
      </w:r>
      <w:r>
        <w:rPr/>
        <w:fldChar w:fldCharType="end" w:fldLock="0"/>
      </w:r>
    </w:p>
    <w:p>
      <w:pPr>
        <w:pStyle w:val="TOC 3"/>
      </w:pPr>
      <w:r>
        <w:rPr>
          <w:rFonts w:cs="Arial Unicode MS" w:eastAsia="Arial Unicode MS" w:hint="default"/>
          <w:rtl w:val="0"/>
        </w:rPr>
        <w:t>2.1. Обоснование комплекса мер обеспечения информационной безопасности и защиты информации объекта</w:t>
        <w:tab/>
      </w:r>
      <w:r>
        <w:rPr/>
        <w:fldChar w:fldCharType="begin" w:fldLock="0"/>
      </w:r>
      <w:r>
        <w:instrText xml:space="preserve"> PAGEREF _Toc11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32</w:t>
      </w:r>
      <w:r>
        <w:rPr/>
        <w:fldChar w:fldCharType="end" w:fldLock="0"/>
      </w:r>
    </w:p>
    <w:p>
      <w:pPr>
        <w:pStyle w:val="TOC 1"/>
      </w:pPr>
      <w:r>
        <w:rPr>
          <w:rFonts w:cs="Arial Unicode MS" w:eastAsia="Arial Unicode MS" w:hint="default"/>
          <w:rtl w:val="0"/>
        </w:rPr>
        <w:t>2.1.1. Отечественная и международная нормативно-правовая основа создания системы обеспечения информационной безопасности и защиты информации предприятия</w:t>
        <w:tab/>
      </w:r>
      <w:r>
        <w:rPr/>
        <w:fldChar w:fldCharType="begin" w:fldLock="0"/>
      </w:r>
      <w:r>
        <w:instrText xml:space="preserve"> PAGEREF _Toc12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32</w:t>
      </w:r>
      <w:r>
        <w:rPr/>
        <w:fldChar w:fldCharType="end" w:fldLock="0"/>
      </w:r>
    </w:p>
    <w:p>
      <w:pPr>
        <w:pStyle w:val="TOC 3"/>
      </w:pPr>
      <w:r>
        <w:rPr>
          <w:rFonts w:cs="Arial Unicode MS" w:eastAsia="Arial Unicode MS" w:hint="default"/>
          <w:rtl w:val="0"/>
        </w:rPr>
        <w:t>2.1.2. Основные методы и способы технической защиты информации, характеристика номенклатуры применяемых средств защиты информации</w:t>
        <w:tab/>
      </w:r>
      <w:r>
        <w:rPr/>
        <w:fldChar w:fldCharType="begin" w:fldLock="0"/>
      </w:r>
      <w:r>
        <w:instrText xml:space="preserve"> PAGEREF _Toc13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35</w:t>
      </w:r>
      <w:r>
        <w:rPr/>
        <w:fldChar w:fldCharType="end" w:fldLock="0"/>
      </w:r>
    </w:p>
    <w:p>
      <w:pPr>
        <w:pStyle w:val="TOC 3"/>
      </w:pPr>
      <w:r>
        <w:rPr>
          <w:rFonts w:cs="Arial Unicode MS" w:eastAsia="Arial Unicode MS" w:hint="default"/>
          <w:rtl w:val="0"/>
        </w:rPr>
        <w:t>2.2. Реализации проекта и его описание согласно руководящим документам</w:t>
        <w:tab/>
      </w:r>
      <w:r>
        <w:rPr/>
        <w:fldChar w:fldCharType="begin" w:fldLock="0"/>
      </w:r>
      <w:r>
        <w:instrText xml:space="preserve"> PAGEREF _Toc14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38</w:t>
      </w:r>
      <w:r>
        <w:rPr/>
        <w:fldChar w:fldCharType="end" w:fldLock="0"/>
      </w:r>
    </w:p>
    <w:p>
      <w:pPr>
        <w:pStyle w:val="TOC 2"/>
      </w:pPr>
      <w:r>
        <w:rPr>
          <w:rFonts w:cs="Arial Unicode MS" w:eastAsia="Arial Unicode MS" w:hint="default"/>
          <w:rtl w:val="0"/>
        </w:rPr>
        <w:t>Заключение</w:t>
        <w:tab/>
      </w:r>
      <w:r>
        <w:rPr/>
        <w:fldChar w:fldCharType="begin" w:fldLock="0"/>
      </w:r>
      <w:r>
        <w:instrText xml:space="preserve"> PAGEREF _Toc15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44</w:t>
      </w:r>
      <w:r>
        <w:rPr/>
        <w:fldChar w:fldCharType="end" w:fldLock="0"/>
      </w:r>
    </w:p>
    <w:p>
      <w:pPr>
        <w:pStyle w:val="TOC 2"/>
      </w:pPr>
      <w:r>
        <w:rPr>
          <w:rFonts w:cs="Arial Unicode MS" w:eastAsia="Arial Unicode MS" w:hint="default"/>
          <w:rtl w:val="0"/>
        </w:rPr>
        <w:t>Список источников и литературы</w:t>
        <w:tab/>
      </w:r>
      <w:r>
        <w:rPr/>
        <w:fldChar w:fldCharType="begin" w:fldLock="0"/>
      </w:r>
      <w:r>
        <w:instrText xml:space="preserve"> PAGEREF _Toc16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46</w:t>
      </w:r>
      <w:r>
        <w:rPr/>
        <w:fldChar w:fldCharType="end" w:fldLock="0"/>
      </w:r>
    </w:p>
    <w:p>
      <w:pPr>
        <w:pStyle w:val="TOC 3"/>
      </w:pPr>
      <w:r>
        <w:rPr>
          <w:rFonts w:cs="Arial Unicode MS" w:eastAsia="Arial Unicode MS" w:hint="default"/>
          <w:rtl w:val="0"/>
        </w:rPr>
        <w:t>Приложение 1</w:t>
        <w:tab/>
      </w:r>
      <w:r>
        <w:rPr/>
        <w:fldChar w:fldCharType="begin" w:fldLock="0"/>
      </w:r>
      <w:r>
        <w:instrText xml:space="preserve"> PAGEREF _Toc17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49</w:t>
      </w:r>
      <w:r>
        <w:rPr/>
        <w:fldChar w:fldCharType="end" w:fldLock="0"/>
      </w:r>
    </w:p>
    <w:p>
      <w:pPr>
        <w:pStyle w:val="TOC 3"/>
      </w:pPr>
      <w:r>
        <w:rPr>
          <w:rFonts w:cs="Arial Unicode MS" w:eastAsia="Arial Unicode MS" w:hint="default"/>
          <w:rtl w:val="0"/>
        </w:rPr>
        <w:t>Приложение 2</w:t>
        <w:tab/>
      </w:r>
      <w:r>
        <w:rPr/>
        <w:fldChar w:fldCharType="begin" w:fldLock="0"/>
      </w:r>
      <w:r>
        <w:instrText xml:space="preserve"> PAGEREF _Toc18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50</w:t>
      </w:r>
      <w:r>
        <w:rPr/>
        <w:fldChar w:fldCharType="end" w:fldLock="0"/>
      </w:r>
    </w:p>
    <w:p>
      <w:pPr>
        <w:pStyle w:val="TOC 3"/>
      </w:pPr>
      <w:r>
        <w:rPr>
          <w:rFonts w:cs="Arial Unicode MS" w:eastAsia="Arial Unicode MS" w:hint="default"/>
          <w:rtl w:val="0"/>
        </w:rPr>
        <w:t>Приложение 3</w:t>
        <w:tab/>
      </w:r>
      <w:r>
        <w:rPr/>
        <w:fldChar w:fldCharType="begin" w:fldLock="0"/>
      </w:r>
      <w:r>
        <w:instrText xml:space="preserve"> PAGEREF _Toc19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51</w:t>
      </w:r>
      <w:r>
        <w:rPr/>
        <w:fldChar w:fldCharType="end" w:fldLock="0"/>
      </w:r>
    </w:p>
    <w:p>
      <w:pPr>
        <w:pStyle w:val="TOC 3"/>
      </w:pPr>
      <w:r>
        <w:rPr>
          <w:rFonts w:cs="Arial Unicode MS" w:eastAsia="Arial Unicode MS" w:hint="default"/>
          <w:rtl w:val="0"/>
        </w:rPr>
        <w:t>Приложение 4</w:t>
        <w:tab/>
      </w:r>
      <w:r>
        <w:rPr/>
        <w:fldChar w:fldCharType="begin" w:fldLock="0"/>
      </w:r>
      <w:r>
        <w:instrText xml:space="preserve"> PAGEREF _Toc20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52</w:t>
      </w:r>
      <w:r>
        <w:rPr/>
        <w:fldChar w:fldCharType="end" w:fldLock="0"/>
      </w:r>
    </w:p>
    <w:p>
      <w:pPr>
        <w:ind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/>
        <w:fldChar w:fldCharType="end" w:fldLock="0"/>
      </w:r>
    </w:p>
    <w:p>
      <w:pPr>
        <w:pStyle w:val="Normal.0"/>
        <w:spacing w:after="200" w:line="276" w:lineRule="auto"/>
        <w:ind w:firstLine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heading 1"/>
      </w:pPr>
      <w:bookmarkStart w:name="_Toc" w:id="0"/>
      <w:r>
        <w:rPr>
          <w:rFonts w:cs="Arial Unicode MS" w:eastAsia="Arial Unicode MS" w:hint="default"/>
          <w:rtl w:val="0"/>
          <w:lang w:val="ru-RU"/>
        </w:rPr>
        <w:t>Введение</w:t>
      </w:r>
      <w:bookmarkEnd w:id="0"/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TNR 14 1.5"/>
      </w:pPr>
      <w:r>
        <w:rPr>
          <w:rtl w:val="0"/>
          <w:lang w:val="ru-RU"/>
        </w:rPr>
        <w:t>В настоящее время с развитием информационных технологий  появляются возможности обработки больших массивов информации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Общество всецело зависит от получаемых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обрабатываемых и передаваемых данных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По этой причине данные сами по себе приобретают высокую ценность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Объектом обработки данных становится финансовая информация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информация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составляющая коммерческую тайну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также данные о личной жизни и состоянии здоровья людей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Утечка информации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содержащей коммерческую тайну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может привести к прямым убыткам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в некоторых случаях поставить  под угрозу само существование организации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Особой ценностью для коммерческих фирм обладает информация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содержащаяся в материалах переговоров между коммерческими партнерами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передаваемой по электронной почте</w:t>
      </w:r>
      <w:r>
        <w:rPr>
          <w:rtl w:val="0"/>
          <w:lang w:val="ru-RU"/>
        </w:rPr>
        <w:t>.</w:t>
      </w:r>
    </w:p>
    <w:p>
      <w:pPr>
        <w:pStyle w:val="TNR 14 1.5"/>
      </w:pPr>
      <w:r>
        <w:rPr>
          <w:rtl w:val="0"/>
          <w:lang w:val="ru-RU"/>
        </w:rPr>
        <w:t>Целью данной работы является разработка системы защиты службы одного окна</w:t>
      </w:r>
      <w:r>
        <w:rPr>
          <w:rtl w:val="0"/>
          <w:lang w:val="ru-RU"/>
        </w:rPr>
        <w:t>.</w:t>
      </w:r>
    </w:p>
    <w:p>
      <w:pPr>
        <w:pStyle w:val="TNR 14 1.5"/>
      </w:pPr>
      <w:r>
        <w:rPr>
          <w:rtl w:val="0"/>
          <w:lang w:val="ru-RU"/>
        </w:rPr>
        <w:t>Задачи работы</w:t>
      </w:r>
      <w:r>
        <w:rPr>
          <w:rtl w:val="0"/>
          <w:lang w:val="ru-RU"/>
        </w:rPr>
        <w:t>:</w:t>
      </w:r>
    </w:p>
    <w:p>
      <w:pPr>
        <w:pStyle w:val="TNR 14 1.5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анализ теоретических аспектов проектирования систем инженерно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технической защиты информации</w:t>
      </w:r>
      <w:r>
        <w:rPr>
          <w:rtl w:val="0"/>
          <w:lang w:val="ru-RU"/>
        </w:rPr>
        <w:t>;</w:t>
      </w:r>
    </w:p>
    <w:p>
      <w:pPr>
        <w:pStyle w:val="TNR 14 1.5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анализ объекта защиты</w:t>
      </w:r>
      <w:r>
        <w:rPr>
          <w:rtl w:val="0"/>
          <w:lang w:val="ru-RU"/>
        </w:rPr>
        <w:t>;</w:t>
      </w:r>
    </w:p>
    <w:p>
      <w:pPr>
        <w:pStyle w:val="TNR 14 1.5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анализ физической природы возникновения угроз утечек по электрическому каналу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определение устройств – носителей информации при ее перехвате по электрическому каналу</w:t>
      </w:r>
      <w:r>
        <w:rPr>
          <w:rtl w:val="0"/>
          <w:lang w:val="ru-RU"/>
        </w:rPr>
        <w:t>;</w:t>
      </w:r>
    </w:p>
    <w:p>
      <w:pPr>
        <w:pStyle w:val="TNR 14 1.5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определение путей противодействия утечкам информации по электрическому каналу</w:t>
      </w:r>
      <w:r>
        <w:rPr>
          <w:rtl w:val="0"/>
          <w:lang w:val="ru-RU"/>
        </w:rPr>
        <w:t>;</w:t>
      </w:r>
    </w:p>
    <w:p>
      <w:pPr>
        <w:pStyle w:val="TNR 14 1.5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построение модели угроз</w:t>
      </w:r>
      <w:r>
        <w:rPr>
          <w:rtl w:val="0"/>
          <w:lang w:val="ru-RU"/>
        </w:rPr>
        <w:t>;</w:t>
      </w:r>
    </w:p>
    <w:p>
      <w:pPr>
        <w:pStyle w:val="TNR 14 1.5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проведение обзора технических решений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используемых для решения задач обеспечения защиты от утечек данных с использованием электрического канала</w:t>
      </w:r>
      <w:r>
        <w:rPr>
          <w:rtl w:val="0"/>
          <w:lang w:val="ru-RU"/>
        </w:rPr>
        <w:t>;</w:t>
      </w:r>
    </w:p>
    <w:p>
      <w:pPr>
        <w:pStyle w:val="TNR 14 1.5"/>
      </w:pPr>
      <w:r>
        <w:rPr>
          <w:rtl w:val="0"/>
          <w:lang w:val="ru-RU"/>
        </w:rPr>
        <w:t>Объект исследования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инженерно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техническая система защиты информации службы одного окна</w:t>
      </w:r>
      <w:r>
        <w:rPr>
          <w:rtl w:val="0"/>
          <w:lang w:val="ru-RU"/>
        </w:rPr>
        <w:t>.</w:t>
      </w:r>
    </w:p>
    <w:p>
      <w:pPr>
        <w:pStyle w:val="TNR 14 1.5"/>
      </w:pPr>
      <w:r>
        <w:rPr>
          <w:rtl w:val="0"/>
          <w:lang w:val="ru-RU"/>
        </w:rPr>
        <w:t>Предмет исследования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обеспечение защиты от утечек оптоволоконных линий связи</w:t>
      </w:r>
      <w:r>
        <w:rPr>
          <w:rtl w:val="0"/>
          <w:lang w:val="ru-RU"/>
        </w:rPr>
        <w:t>.</w:t>
      </w:r>
    </w:p>
    <w:p>
      <w:pPr>
        <w:pStyle w:val="Normal.0"/>
        <w:spacing w:after="200" w:line="276" w:lineRule="auto"/>
        <w:ind w:firstLine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heading 1"/>
      </w:pPr>
      <w:bookmarkStart w:name="_Toc1" w:id="1"/>
      <w:r>
        <w:rPr>
          <w:rtl w:val="0"/>
          <w:lang w:val="en-US"/>
        </w:rPr>
        <w:t>I</w:t>
      </w:r>
      <w:r>
        <w:rPr>
          <w:rtl w:val="0"/>
          <w:lang w:val="ru-RU"/>
        </w:rPr>
        <w:t xml:space="preserve"> Аналитическая часть</w:t>
      </w:r>
      <w:bookmarkEnd w:id="1"/>
    </w:p>
    <w:p>
      <w:pPr>
        <w:pStyle w:val="heading 1"/>
      </w:pPr>
      <w:bookmarkStart w:name="_Toc2" w:id="2"/>
      <w:r>
        <w:rPr>
          <w:rFonts w:cs="Arial Unicode MS" w:eastAsia="Arial Unicode MS"/>
          <w:rtl w:val="0"/>
          <w:lang w:val="ru-RU"/>
        </w:rPr>
        <w:t xml:space="preserve">1.1. </w:t>
      </w:r>
      <w:r>
        <w:rPr>
          <w:rFonts w:cs="Arial Unicode MS" w:eastAsia="Arial Unicode MS" w:hint="default"/>
          <w:rtl w:val="0"/>
          <w:lang w:val="ru-RU"/>
        </w:rPr>
        <w:t>Технико</w:t>
      </w:r>
      <w:r>
        <w:rPr>
          <w:rFonts w:cs="Arial Unicode MS" w:eastAsia="Arial Unicode MS"/>
          <w:rtl w:val="0"/>
          <w:lang w:val="ru-RU"/>
        </w:rPr>
        <w:t>-</w:t>
      </w:r>
      <w:r>
        <w:rPr>
          <w:rFonts w:cs="Arial Unicode MS" w:eastAsia="Arial Unicode MS" w:hint="default"/>
          <w:rtl w:val="0"/>
          <w:lang w:val="ru-RU"/>
        </w:rPr>
        <w:t>экономическая характеристика предметной области и предприятия</w:t>
      </w:r>
      <w:bookmarkEnd w:id="2"/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 Spacing"/>
        <w:spacing w:line="360" w:lineRule="auto"/>
      </w:pPr>
      <w:r>
        <w:rPr>
          <w:rtl w:val="0"/>
          <w:lang w:val="ru-RU"/>
        </w:rPr>
        <w:t>В рамках данной работы проведено исследование системы защиты службы одного окна</w:t>
      </w:r>
      <w:r>
        <w:rPr>
          <w:rtl w:val="0"/>
          <w:lang w:val="ru-RU"/>
        </w:rPr>
        <w:t xml:space="preserve">. </w:t>
      </w:r>
    </w:p>
    <w:p>
      <w:pPr>
        <w:pStyle w:val="No Spacing"/>
        <w:spacing w:line="360" w:lineRule="auto"/>
      </w:pPr>
      <w:r>
        <w:rPr>
          <w:rtl w:val="0"/>
          <w:lang w:val="ru-RU"/>
        </w:rPr>
        <w:t xml:space="preserve">На сегодняшний день основные направления деятельности компании включают </w:t>
      </w:r>
      <w:r>
        <w:rPr>
          <w:rtl w:val="0"/>
          <w:lang w:val="ru-RU"/>
        </w:rPr>
        <w:t>[1]:</w:t>
      </w:r>
    </w:p>
    <w:p>
      <w:pPr>
        <w:pStyle w:val="No Spacing"/>
        <w:numPr>
          <w:ilvl w:val="0"/>
          <w:numId w:val="2"/>
        </w:numPr>
        <w:bidi w:val="0"/>
        <w:spacing w:line="360" w:lineRule="auto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Работу с сертификатами электронной подписи для участия в государственных и коммерческих торгах</w:t>
      </w:r>
      <w:r>
        <w:rPr>
          <w:rtl w:val="0"/>
          <w:lang w:val="ru-RU"/>
        </w:rPr>
        <w:t>;</w:t>
      </w:r>
    </w:p>
    <w:p>
      <w:pPr>
        <w:pStyle w:val="No Spacing"/>
        <w:numPr>
          <w:ilvl w:val="0"/>
          <w:numId w:val="2"/>
        </w:numPr>
        <w:bidi w:val="0"/>
        <w:spacing w:line="360" w:lineRule="auto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Обслуживание системы по формированию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проверке и сдаче электронной отчётности в контролирующие организации</w:t>
      </w:r>
      <w:r>
        <w:rPr>
          <w:rtl w:val="0"/>
          <w:lang w:val="ru-RU"/>
        </w:rPr>
        <w:t>;</w:t>
      </w:r>
    </w:p>
    <w:p>
      <w:pPr>
        <w:pStyle w:val="No Spacing"/>
        <w:numPr>
          <w:ilvl w:val="0"/>
          <w:numId w:val="2"/>
        </w:numPr>
        <w:bidi w:val="0"/>
        <w:spacing w:line="360" w:lineRule="auto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Обслуживание автоматизированных систем электронного документооборота</w:t>
      </w:r>
      <w:r>
        <w:rPr>
          <w:rtl w:val="0"/>
          <w:lang w:val="ru-RU"/>
        </w:rPr>
        <w:t>;</w:t>
      </w:r>
    </w:p>
    <w:p>
      <w:pPr>
        <w:pStyle w:val="No Spacing"/>
        <w:numPr>
          <w:ilvl w:val="0"/>
          <w:numId w:val="2"/>
        </w:numPr>
        <w:bidi w:val="0"/>
        <w:spacing w:line="360" w:lineRule="auto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Услуги поисковых систем по проверке контрагентов и аффилированности</w:t>
      </w:r>
      <w:r>
        <w:rPr>
          <w:rtl w:val="0"/>
          <w:lang w:val="ru-RU"/>
        </w:rPr>
        <w:t>;</w:t>
      </w:r>
    </w:p>
    <w:p>
      <w:pPr>
        <w:pStyle w:val="No Spacing"/>
        <w:numPr>
          <w:ilvl w:val="0"/>
          <w:numId w:val="2"/>
        </w:numPr>
        <w:bidi w:val="0"/>
        <w:spacing w:line="360" w:lineRule="auto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Услуги справочно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правовых веб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сервисов</w:t>
      </w:r>
      <w:r>
        <w:rPr>
          <w:rtl w:val="0"/>
          <w:lang w:val="ru-RU"/>
        </w:rPr>
        <w:t>;</w:t>
      </w:r>
    </w:p>
    <w:p>
      <w:pPr>
        <w:pStyle w:val="No Spacing"/>
        <w:numPr>
          <w:ilvl w:val="0"/>
          <w:numId w:val="2"/>
        </w:numPr>
        <w:bidi w:val="0"/>
        <w:spacing w:line="360" w:lineRule="auto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Услуги облачных сервисов на базе </w:t>
      </w:r>
      <w:r>
        <w:rPr>
          <w:rtl w:val="0"/>
          <w:lang w:val="ru-RU"/>
        </w:rPr>
        <w:t>Open Source;</w:t>
      </w:r>
    </w:p>
    <w:p>
      <w:pPr>
        <w:pStyle w:val="No Spacing"/>
        <w:numPr>
          <w:ilvl w:val="0"/>
          <w:numId w:val="2"/>
        </w:numPr>
        <w:bidi w:val="0"/>
        <w:spacing w:line="360" w:lineRule="auto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Разработка программного обеспечения</w:t>
      </w:r>
      <w:r>
        <w:rPr>
          <w:rtl w:val="0"/>
          <w:lang w:val="ru-RU"/>
        </w:rPr>
        <w:t>;</w:t>
      </w:r>
    </w:p>
    <w:p>
      <w:pPr>
        <w:pStyle w:val="No Spacing"/>
        <w:numPr>
          <w:ilvl w:val="0"/>
          <w:numId w:val="2"/>
        </w:numPr>
        <w:bidi w:val="0"/>
        <w:spacing w:line="360" w:lineRule="auto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Услуги по веб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разработке Интернет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решений</w:t>
      </w:r>
      <w:r>
        <w:rPr>
          <w:rtl w:val="0"/>
          <w:lang w:val="ru-RU"/>
        </w:rPr>
        <w:t>;</w:t>
      </w:r>
    </w:p>
    <w:p>
      <w:pPr>
        <w:pStyle w:val="No Spacing"/>
        <w:numPr>
          <w:ilvl w:val="0"/>
          <w:numId w:val="2"/>
        </w:numPr>
        <w:bidi w:val="0"/>
        <w:spacing w:line="360" w:lineRule="auto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Услуги Интернет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маркетинга</w:t>
      </w:r>
      <w:r>
        <w:rPr>
          <w:rtl w:val="0"/>
          <w:lang w:val="ru-RU"/>
        </w:rPr>
        <w:t>.</w:t>
      </w:r>
    </w:p>
    <w:p>
      <w:pPr>
        <w:pStyle w:val="А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На рисунке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приведена схема организационной структуры Службы одного окна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А"/>
        <w:ind w:firstLine="0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mc:AlternateContent>
          <mc:Choice Requires="wpg">
            <w:drawing>
              <wp:inline distT="0" distB="0" distL="0" distR="0">
                <wp:extent cx="5658571" cy="2021811"/>
                <wp:effectExtent l="0" t="0" r="0" b="0"/>
                <wp:docPr id="1073741869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8571" cy="2021811"/>
                          <a:chOff x="0" y="0"/>
                          <a:chExt cx="5658569" cy="2021810"/>
                        </a:xfrm>
                      </wpg:grpSpPr>
                      <wps:wsp>
                        <wps:cNvPr id="1073741825" name="Shape 1073741825"/>
                        <wps:cNvSpPr/>
                        <wps:spPr>
                          <a:xfrm>
                            <a:off x="4215867" y="1217375"/>
                            <a:ext cx="966064" cy="22683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0" y="0"/>
                                </a:moveTo>
                                <a:lnTo>
                                  <a:pt x="0" y="14720"/>
                                </a:lnTo>
                                <a:lnTo>
                                  <a:pt x="21600" y="14720"/>
                                </a:ln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 w="25400" cap="flat">
                            <a:solidFill>
                              <a:srgbClr val="4775AB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073741826" name="Shape 1073741826"/>
                        <wps:cNvSpPr/>
                        <wps:spPr>
                          <a:xfrm>
                            <a:off x="4215868" y="1217375"/>
                            <a:ext cx="12788" cy="22683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0" y="0"/>
                                </a:moveTo>
                                <a:lnTo>
                                  <a:pt x="0" y="14720"/>
                                </a:lnTo>
                                <a:lnTo>
                                  <a:pt x="21600" y="14720"/>
                                </a:ln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 w="25400" cap="flat">
                            <a:solidFill>
                              <a:srgbClr val="4775AB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073741827" name="Shape 1073741827"/>
                        <wps:cNvSpPr/>
                        <wps:spPr>
                          <a:xfrm>
                            <a:off x="3262591" y="1217375"/>
                            <a:ext cx="953277" cy="22683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21600" y="0"/>
                                </a:moveTo>
                                <a:lnTo>
                                  <a:pt x="21600" y="14720"/>
                                </a:lnTo>
                                <a:lnTo>
                                  <a:pt x="0" y="14720"/>
                                </a:lnTo>
                                <a:lnTo>
                                  <a:pt x="0" y="21600"/>
                                </a:lnTo>
                              </a:path>
                            </a:pathLst>
                          </a:custGeom>
                          <a:noFill/>
                          <a:ln w="25400" cap="flat">
                            <a:solidFill>
                              <a:srgbClr val="4775AB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073741828" name="Shape 1073741828"/>
                        <wps:cNvSpPr/>
                        <wps:spPr>
                          <a:xfrm>
                            <a:off x="2779560" y="495270"/>
                            <a:ext cx="1436308" cy="22683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0" y="0"/>
                                </a:moveTo>
                                <a:lnTo>
                                  <a:pt x="0" y="14720"/>
                                </a:lnTo>
                                <a:lnTo>
                                  <a:pt x="21600" y="14720"/>
                                </a:ln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 w="25400" cap="flat">
                            <a:solidFill>
                              <a:srgbClr val="3F6696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073741829" name="Shape 1073741829"/>
                        <wps:cNvSpPr/>
                        <wps:spPr>
                          <a:xfrm>
                            <a:off x="1343252" y="1217375"/>
                            <a:ext cx="953278" cy="22683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0" y="0"/>
                                </a:moveTo>
                                <a:lnTo>
                                  <a:pt x="0" y="14720"/>
                                </a:lnTo>
                                <a:lnTo>
                                  <a:pt x="21600" y="14720"/>
                                </a:ln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 w="25400" cap="flat">
                            <a:solidFill>
                              <a:srgbClr val="4775AB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073741830" name="Shape 1073741830"/>
                        <wps:cNvSpPr/>
                        <wps:spPr>
                          <a:xfrm>
                            <a:off x="1343253" y="1217375"/>
                            <a:ext cx="1" cy="226837"/>
                          </a:xfrm>
                          <a:prstGeom prst="line">
                            <a:avLst/>
                          </a:prstGeom>
                          <a:noFill/>
                          <a:ln w="25400" cap="flat">
                            <a:solidFill>
                              <a:srgbClr val="4775AB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073741831" name="Shape 1073741831"/>
                        <wps:cNvSpPr/>
                        <wps:spPr>
                          <a:xfrm>
                            <a:off x="389976" y="1217375"/>
                            <a:ext cx="953278" cy="22683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21600" y="0"/>
                                </a:moveTo>
                                <a:lnTo>
                                  <a:pt x="21600" y="14720"/>
                                </a:lnTo>
                                <a:lnTo>
                                  <a:pt x="0" y="14720"/>
                                </a:lnTo>
                                <a:lnTo>
                                  <a:pt x="0" y="21600"/>
                                </a:lnTo>
                              </a:path>
                            </a:pathLst>
                          </a:custGeom>
                          <a:noFill/>
                          <a:ln w="25400" cap="flat">
                            <a:solidFill>
                              <a:srgbClr val="4775AB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073741832" name="Shape 1073741832"/>
                        <wps:cNvSpPr/>
                        <wps:spPr>
                          <a:xfrm>
                            <a:off x="1343252" y="495270"/>
                            <a:ext cx="1436308" cy="22683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21600" y="0"/>
                                </a:moveTo>
                                <a:lnTo>
                                  <a:pt x="21600" y="14720"/>
                                </a:lnTo>
                                <a:lnTo>
                                  <a:pt x="0" y="14720"/>
                                </a:lnTo>
                                <a:lnTo>
                                  <a:pt x="0" y="21600"/>
                                </a:lnTo>
                              </a:path>
                            </a:pathLst>
                          </a:custGeom>
                          <a:noFill/>
                          <a:ln w="25400" cap="flat">
                            <a:solidFill>
                              <a:srgbClr val="3F6696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073741833" name="Shape 1073741833"/>
                        <wps:cNvSpPr/>
                        <wps:spPr>
                          <a:xfrm>
                            <a:off x="2389583" y="0"/>
                            <a:ext cx="779955" cy="4952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chemeClr val="accent1"/>
                          </a:solidFill>
                          <a:ln w="25400" cap="flat">
                            <a:solidFill>
                              <a:srgbClr val="FFFFFF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g:grpSp>
                        <wpg:cNvPr id="1073741836" name="Group 1073741836"/>
                        <wpg:cNvGrpSpPr/>
                        <wpg:grpSpPr>
                          <a:xfrm>
                            <a:off x="2476245" y="82327"/>
                            <a:ext cx="779954" cy="495272"/>
                            <a:chOff x="0" y="0"/>
                            <a:chExt cx="779953" cy="495270"/>
                          </a:xfrm>
                        </wpg:grpSpPr>
                        <wps:wsp>
                          <wps:cNvPr id="1073741834" name="Shape 1073741834"/>
                          <wps:cNvSpPr/>
                          <wps:spPr>
                            <a:xfrm>
                              <a:off x="0" y="0"/>
                              <a:ext cx="779954" cy="495271"/>
                            </a:xfrm>
                            <a:prstGeom prst="roundRect">
                              <a:avLst>
                                <a:gd name="adj" fmla="val 10000"/>
                              </a:avLst>
                            </a:prstGeom>
                            <a:solidFill>
                              <a:srgbClr val="FFFFFF">
                                <a:alpha val="90000"/>
                              </a:srgbClr>
                            </a:solidFill>
                            <a:ln w="25400" cap="flat">
                              <a:solidFill>
                                <a:schemeClr val="accent1"/>
                              </a:solidFill>
                              <a:prstDash val="solid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073741835" name="Shape 1073741835"/>
                          <wps:cNvSpPr txBox="1"/>
                          <wps:spPr>
                            <a:xfrm>
                              <a:off x="14506" y="14505"/>
                              <a:ext cx="750942" cy="466260"/>
                            </a:xfrm>
                            <a:prstGeom prst="rect">
                              <a:avLst/>
                            </a:prstGeom>
                            <a:noFill/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Caption"/>
                                  <w:tabs>
                                    <w:tab w:val="left" w:pos="490"/>
                                    <w:tab w:val="left" w:pos="980"/>
                                  </w:tabs>
                                  <w:spacing w:after="59" w:line="216" w:lineRule="auto"/>
                                  <w:jc w:val="center"/>
                                </w:pPr>
                                <w:r>
                                  <w:rPr>
                                    <w:sz w:val="14"/>
                                    <w:szCs w:val="14"/>
                                    <w:rtl w:val="0"/>
                                    <w:lang w:val="ru-RU"/>
                                  </w:rPr>
                                  <w:t>Генеральный директор</w:t>
                                </w:r>
                              </w:p>
                            </w:txbxContent>
                          </wps:txbx>
                          <wps:bodyPr wrap="square" lIns="26669" tIns="26669" rIns="26669" bIns="26669" numCol="1" anchor="ctr">
                            <a:noAutofit/>
                          </wps:bodyPr>
                        </wps:wsp>
                      </wpg:grpSp>
                      <wps:wsp>
                        <wps:cNvPr id="1073741837" name="Shape 1073741837"/>
                        <wps:cNvSpPr/>
                        <wps:spPr>
                          <a:xfrm>
                            <a:off x="953276" y="722106"/>
                            <a:ext cx="779954" cy="4952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chemeClr val="accent1"/>
                          </a:solidFill>
                          <a:ln w="25400" cap="flat">
                            <a:solidFill>
                              <a:srgbClr val="FFFFFF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g:grpSp>
                        <wpg:cNvPr id="1073741840" name="Group 1073741840"/>
                        <wpg:cNvGrpSpPr/>
                        <wpg:grpSpPr>
                          <a:xfrm>
                            <a:off x="1039937" y="804435"/>
                            <a:ext cx="779954" cy="495271"/>
                            <a:chOff x="0" y="0"/>
                            <a:chExt cx="779953" cy="495270"/>
                          </a:xfrm>
                        </wpg:grpSpPr>
                        <wps:wsp>
                          <wps:cNvPr id="1073741838" name="Shape 1073741838"/>
                          <wps:cNvSpPr/>
                          <wps:spPr>
                            <a:xfrm>
                              <a:off x="0" y="0"/>
                              <a:ext cx="779954" cy="495271"/>
                            </a:xfrm>
                            <a:prstGeom prst="roundRect">
                              <a:avLst>
                                <a:gd name="adj" fmla="val 10000"/>
                              </a:avLst>
                            </a:prstGeom>
                            <a:solidFill>
                              <a:srgbClr val="FFFFFF">
                                <a:alpha val="90000"/>
                              </a:srgbClr>
                            </a:solidFill>
                            <a:ln w="25400" cap="flat">
                              <a:solidFill>
                                <a:schemeClr val="accent1"/>
                              </a:solidFill>
                              <a:prstDash val="solid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073741839" name="Shape 1073741839"/>
                          <wps:cNvSpPr txBox="1"/>
                          <wps:spPr>
                            <a:xfrm>
                              <a:off x="14505" y="14505"/>
                              <a:ext cx="750942" cy="466260"/>
                            </a:xfrm>
                            <a:prstGeom prst="rect">
                              <a:avLst/>
                            </a:prstGeom>
                            <a:noFill/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Caption"/>
                                  <w:tabs>
                                    <w:tab w:val="left" w:pos="630"/>
                                  </w:tabs>
                                  <w:spacing w:after="76" w:line="216" w:lineRule="auto"/>
                                  <w:jc w:val="center"/>
                                </w:pPr>
                                <w:r>
                                  <w:rPr>
                                    <w:sz w:val="18"/>
                                    <w:szCs w:val="18"/>
                                    <w:rtl w:val="0"/>
                                    <w:lang w:val="ru-RU"/>
                                  </w:rPr>
                                  <w:t>Заместитель директора</w:t>
                                </w:r>
                              </w:p>
                            </w:txbxContent>
                          </wps:txbx>
                          <wps:bodyPr wrap="square" lIns="34290" tIns="34290" rIns="34290" bIns="34290" numCol="1" anchor="ctr">
                            <a:noAutofit/>
                          </wps:bodyPr>
                        </wps:wsp>
                      </wpg:grpSp>
                      <wps:wsp>
                        <wps:cNvPr id="1073741841" name="Shape 1073741841"/>
                        <wps:cNvSpPr/>
                        <wps:spPr>
                          <a:xfrm>
                            <a:off x="0" y="1444213"/>
                            <a:ext cx="779954" cy="4952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chemeClr val="accent1"/>
                          </a:solidFill>
                          <a:ln w="25400" cap="flat">
                            <a:solidFill>
                              <a:srgbClr val="FFFFFF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g:grpSp>
                        <wpg:cNvPr id="1073741844" name="Group 1073741844"/>
                        <wpg:cNvGrpSpPr/>
                        <wpg:grpSpPr>
                          <a:xfrm>
                            <a:off x="86662" y="1526540"/>
                            <a:ext cx="779954" cy="495271"/>
                            <a:chOff x="0" y="0"/>
                            <a:chExt cx="779953" cy="495270"/>
                          </a:xfrm>
                        </wpg:grpSpPr>
                        <wps:wsp>
                          <wps:cNvPr id="1073741842" name="Shape 1073741842"/>
                          <wps:cNvSpPr/>
                          <wps:spPr>
                            <a:xfrm>
                              <a:off x="0" y="0"/>
                              <a:ext cx="779954" cy="495271"/>
                            </a:xfrm>
                            <a:prstGeom prst="roundRect">
                              <a:avLst>
                                <a:gd name="adj" fmla="val 10000"/>
                              </a:avLst>
                            </a:prstGeom>
                            <a:solidFill>
                              <a:srgbClr val="FFFFFF">
                                <a:alpha val="90000"/>
                              </a:srgbClr>
                            </a:solidFill>
                            <a:ln w="25400" cap="flat">
                              <a:solidFill>
                                <a:schemeClr val="accent1"/>
                              </a:solidFill>
                              <a:prstDash val="solid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073741843" name="Shape 1073741843"/>
                          <wps:cNvSpPr txBox="1"/>
                          <wps:spPr>
                            <a:xfrm>
                              <a:off x="14506" y="14506"/>
                              <a:ext cx="750941" cy="466259"/>
                            </a:xfrm>
                            <a:prstGeom prst="rect">
                              <a:avLst/>
                            </a:prstGeom>
                            <a:noFill/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Caption"/>
                                  <w:tabs>
                                    <w:tab w:val="left" w:pos="560"/>
                                    <w:tab w:val="left" w:pos="1120"/>
                                  </w:tabs>
                                  <w:spacing w:after="67" w:line="216" w:lineRule="auto"/>
                                  <w:jc w:val="center"/>
                                </w:pPr>
                                <w:r>
                                  <w:rPr>
                                    <w:sz w:val="16"/>
                                    <w:szCs w:val="16"/>
                                    <w:rtl w:val="0"/>
                                    <w:lang w:val="ru-RU"/>
                                  </w:rPr>
                                  <w:t>Отдел по работе с клиентами</w:t>
                                </w:r>
                              </w:p>
                            </w:txbxContent>
                          </wps:txbx>
                          <wps:bodyPr wrap="square" lIns="30480" tIns="30480" rIns="30480" bIns="30480" numCol="1" anchor="ctr">
                            <a:noAutofit/>
                          </wps:bodyPr>
                        </wps:wsp>
                      </wpg:grpSp>
                      <wps:wsp>
                        <wps:cNvPr id="1073741845" name="Shape 1073741845"/>
                        <wps:cNvSpPr/>
                        <wps:spPr>
                          <a:xfrm>
                            <a:off x="953276" y="1444213"/>
                            <a:ext cx="779954" cy="4952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chemeClr val="accent1"/>
                          </a:solidFill>
                          <a:ln w="25400" cap="flat">
                            <a:solidFill>
                              <a:srgbClr val="FFFFFF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g:grpSp>
                        <wpg:cNvPr id="1073741848" name="Group 1073741848"/>
                        <wpg:cNvGrpSpPr/>
                        <wpg:grpSpPr>
                          <a:xfrm>
                            <a:off x="1039937" y="1526540"/>
                            <a:ext cx="779954" cy="495271"/>
                            <a:chOff x="0" y="0"/>
                            <a:chExt cx="779953" cy="495270"/>
                          </a:xfrm>
                        </wpg:grpSpPr>
                        <wps:wsp>
                          <wps:cNvPr id="1073741846" name="Shape 1073741846"/>
                          <wps:cNvSpPr/>
                          <wps:spPr>
                            <a:xfrm>
                              <a:off x="0" y="0"/>
                              <a:ext cx="779954" cy="495271"/>
                            </a:xfrm>
                            <a:prstGeom prst="roundRect">
                              <a:avLst>
                                <a:gd name="adj" fmla="val 10000"/>
                              </a:avLst>
                            </a:prstGeom>
                            <a:solidFill>
                              <a:srgbClr val="FFFFFF">
                                <a:alpha val="90000"/>
                              </a:srgbClr>
                            </a:solidFill>
                            <a:ln w="25400" cap="flat">
                              <a:solidFill>
                                <a:schemeClr val="accent1"/>
                              </a:solidFill>
                              <a:prstDash val="solid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073741847" name="Shape 1073741847"/>
                          <wps:cNvSpPr txBox="1"/>
                          <wps:spPr>
                            <a:xfrm>
                              <a:off x="14505" y="14506"/>
                              <a:ext cx="750942" cy="466259"/>
                            </a:xfrm>
                            <a:prstGeom prst="rect">
                              <a:avLst/>
                            </a:prstGeom>
                            <a:noFill/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Caption"/>
                                  <w:tabs>
                                    <w:tab w:val="left" w:pos="490"/>
                                    <w:tab w:val="left" w:pos="980"/>
                                  </w:tabs>
                                  <w:spacing w:after="59" w:line="216" w:lineRule="auto"/>
                                  <w:jc w:val="center"/>
                                </w:pPr>
                                <w:r>
                                  <w:rPr>
                                    <w:sz w:val="14"/>
                                    <w:szCs w:val="14"/>
                                    <w:rtl w:val="0"/>
                                    <w:lang w:val="ru-RU"/>
                                  </w:rPr>
                                  <w:t>Удостоверяющий центр</w:t>
                                </w:r>
                              </w:p>
                            </w:txbxContent>
                          </wps:txbx>
                          <wps:bodyPr wrap="square" lIns="26669" tIns="26669" rIns="26669" bIns="26669" numCol="1" anchor="ctr">
                            <a:noAutofit/>
                          </wps:bodyPr>
                        </wps:wsp>
                      </wpg:grpSp>
                      <wps:wsp>
                        <wps:cNvPr id="1073741849" name="Shape 1073741849"/>
                        <wps:cNvSpPr/>
                        <wps:spPr>
                          <a:xfrm>
                            <a:off x="1906552" y="1444213"/>
                            <a:ext cx="779954" cy="4952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chemeClr val="accent1"/>
                          </a:solidFill>
                          <a:ln w="25400" cap="flat">
                            <a:solidFill>
                              <a:srgbClr val="FFFFFF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g:grpSp>
                        <wpg:cNvPr id="1073741852" name="Group 1073741852"/>
                        <wpg:cNvGrpSpPr/>
                        <wpg:grpSpPr>
                          <a:xfrm>
                            <a:off x="1993213" y="1526540"/>
                            <a:ext cx="779955" cy="495271"/>
                            <a:chOff x="0" y="0"/>
                            <a:chExt cx="779953" cy="495270"/>
                          </a:xfrm>
                        </wpg:grpSpPr>
                        <wps:wsp>
                          <wps:cNvPr id="1073741850" name="Shape 1073741850"/>
                          <wps:cNvSpPr/>
                          <wps:spPr>
                            <a:xfrm>
                              <a:off x="0" y="0"/>
                              <a:ext cx="779954" cy="495271"/>
                            </a:xfrm>
                            <a:prstGeom prst="roundRect">
                              <a:avLst>
                                <a:gd name="adj" fmla="val 10000"/>
                              </a:avLst>
                            </a:prstGeom>
                            <a:solidFill>
                              <a:srgbClr val="FFFFFF">
                                <a:alpha val="90000"/>
                              </a:srgbClr>
                            </a:solidFill>
                            <a:ln w="25400" cap="flat">
                              <a:solidFill>
                                <a:schemeClr val="accent1"/>
                              </a:solidFill>
                              <a:prstDash val="solid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073741851" name="Shape 1073741851"/>
                          <wps:cNvSpPr txBox="1"/>
                          <wps:spPr>
                            <a:xfrm>
                              <a:off x="14506" y="14506"/>
                              <a:ext cx="750942" cy="466259"/>
                            </a:xfrm>
                            <a:prstGeom prst="rect">
                              <a:avLst/>
                            </a:prstGeom>
                            <a:noFill/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Caption"/>
                                  <w:tabs>
                                    <w:tab w:val="left" w:pos="490"/>
                                    <w:tab w:val="left" w:pos="980"/>
                                  </w:tabs>
                                  <w:spacing w:after="59" w:line="216" w:lineRule="auto"/>
                                  <w:jc w:val="center"/>
                                </w:pPr>
                                <w:r>
                                  <w:rPr>
                                    <w:sz w:val="14"/>
                                    <w:szCs w:val="14"/>
                                    <w:rtl w:val="0"/>
                                    <w:lang w:val="ru-RU"/>
                                  </w:rPr>
                                  <w:t>Отдел разработки и сопровождения ПО</w:t>
                                </w:r>
                              </w:p>
                            </w:txbxContent>
                          </wps:txbx>
                          <wps:bodyPr wrap="square" lIns="26669" tIns="26669" rIns="26669" bIns="26669" numCol="1" anchor="ctr">
                            <a:noAutofit/>
                          </wps:bodyPr>
                        </wps:wsp>
                      </wpg:grpSp>
                      <wps:wsp>
                        <wps:cNvPr id="1073741853" name="Shape 1073741853"/>
                        <wps:cNvSpPr/>
                        <wps:spPr>
                          <a:xfrm>
                            <a:off x="3825892" y="722106"/>
                            <a:ext cx="779954" cy="4952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chemeClr val="accent1"/>
                          </a:solidFill>
                          <a:ln w="25400" cap="flat">
                            <a:solidFill>
                              <a:srgbClr val="FFFFFF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g:grpSp>
                        <wpg:cNvPr id="1073741856" name="Group 1073741856"/>
                        <wpg:cNvGrpSpPr/>
                        <wpg:grpSpPr>
                          <a:xfrm>
                            <a:off x="3912553" y="804435"/>
                            <a:ext cx="779954" cy="495271"/>
                            <a:chOff x="0" y="0"/>
                            <a:chExt cx="779953" cy="495270"/>
                          </a:xfrm>
                        </wpg:grpSpPr>
                        <wps:wsp>
                          <wps:cNvPr id="1073741854" name="Shape 1073741854"/>
                          <wps:cNvSpPr/>
                          <wps:spPr>
                            <a:xfrm>
                              <a:off x="0" y="0"/>
                              <a:ext cx="779954" cy="495271"/>
                            </a:xfrm>
                            <a:prstGeom prst="roundRect">
                              <a:avLst>
                                <a:gd name="adj" fmla="val 10000"/>
                              </a:avLst>
                            </a:prstGeom>
                            <a:solidFill>
                              <a:srgbClr val="FFFFFF">
                                <a:alpha val="90000"/>
                              </a:srgbClr>
                            </a:solidFill>
                            <a:ln w="25400" cap="flat">
                              <a:solidFill>
                                <a:schemeClr val="accent1"/>
                              </a:solidFill>
                              <a:prstDash val="solid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073741855" name="Shape 1073741855"/>
                          <wps:cNvSpPr txBox="1"/>
                          <wps:spPr>
                            <a:xfrm>
                              <a:off x="14506" y="14505"/>
                              <a:ext cx="750942" cy="466260"/>
                            </a:xfrm>
                            <a:prstGeom prst="rect">
                              <a:avLst/>
                            </a:prstGeom>
                            <a:noFill/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Caption"/>
                                  <w:tabs>
                                    <w:tab w:val="left" w:pos="630"/>
                                  </w:tabs>
                                  <w:spacing w:after="76" w:line="216" w:lineRule="auto"/>
                                  <w:jc w:val="center"/>
                                </w:pPr>
                                <w:r>
                                  <w:rPr>
                                    <w:sz w:val="18"/>
                                    <w:szCs w:val="18"/>
                                    <w:rtl w:val="0"/>
                                    <w:lang w:val="ru-RU"/>
                                  </w:rPr>
                                  <w:t>Заместитель директора</w:t>
                                </w:r>
                              </w:p>
                            </w:txbxContent>
                          </wps:txbx>
                          <wps:bodyPr wrap="square" lIns="34290" tIns="34290" rIns="34290" bIns="34290" numCol="1" anchor="ctr">
                            <a:noAutofit/>
                          </wps:bodyPr>
                        </wps:wsp>
                      </wpg:grpSp>
                      <wps:wsp>
                        <wps:cNvPr id="1073741857" name="Shape 1073741857"/>
                        <wps:cNvSpPr/>
                        <wps:spPr>
                          <a:xfrm>
                            <a:off x="2859827" y="1444213"/>
                            <a:ext cx="805528" cy="4952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chemeClr val="accent1"/>
                          </a:solidFill>
                          <a:ln w="25400" cap="flat">
                            <a:solidFill>
                              <a:srgbClr val="FFFFFF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g:grpSp>
                        <wpg:cNvPr id="1073741860" name="Group 1073741860"/>
                        <wpg:cNvGrpSpPr/>
                        <wpg:grpSpPr>
                          <a:xfrm>
                            <a:off x="2946490" y="1526540"/>
                            <a:ext cx="805528" cy="495271"/>
                            <a:chOff x="0" y="0"/>
                            <a:chExt cx="805526" cy="495270"/>
                          </a:xfrm>
                        </wpg:grpSpPr>
                        <wps:wsp>
                          <wps:cNvPr id="1073741858" name="Shape 1073741858"/>
                          <wps:cNvSpPr/>
                          <wps:spPr>
                            <a:xfrm>
                              <a:off x="0" y="0"/>
                              <a:ext cx="805527" cy="495271"/>
                            </a:xfrm>
                            <a:prstGeom prst="roundRect">
                              <a:avLst>
                                <a:gd name="adj" fmla="val 10000"/>
                              </a:avLst>
                            </a:prstGeom>
                            <a:solidFill>
                              <a:srgbClr val="FFFFFF">
                                <a:alpha val="90000"/>
                              </a:srgbClr>
                            </a:solidFill>
                            <a:ln w="25400" cap="flat">
                              <a:solidFill>
                                <a:schemeClr val="accent1"/>
                              </a:solidFill>
                              <a:prstDash val="solid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073741859" name="Shape 1073741859"/>
                          <wps:cNvSpPr txBox="1"/>
                          <wps:spPr>
                            <a:xfrm>
                              <a:off x="14505" y="14506"/>
                              <a:ext cx="776516" cy="466259"/>
                            </a:xfrm>
                            <a:prstGeom prst="rect">
                              <a:avLst/>
                            </a:prstGeom>
                            <a:noFill/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Caption"/>
                                  <w:tabs>
                                    <w:tab w:val="left" w:pos="560"/>
                                    <w:tab w:val="left" w:pos="1120"/>
                                  </w:tabs>
                                  <w:spacing w:after="67" w:line="216" w:lineRule="auto"/>
                                  <w:jc w:val="center"/>
                                </w:pPr>
                                <w:r>
                                  <w:rPr>
                                    <w:sz w:val="16"/>
                                    <w:szCs w:val="16"/>
                                    <w:rtl w:val="0"/>
                                    <w:lang w:val="ru-RU"/>
                                  </w:rPr>
                                  <w:t>Экономический отдел</w:t>
                                </w:r>
                              </w:p>
                            </w:txbxContent>
                          </wps:txbx>
                          <wps:bodyPr wrap="square" lIns="30480" tIns="30480" rIns="30480" bIns="30480" numCol="1" anchor="ctr">
                            <a:noAutofit/>
                          </wps:bodyPr>
                        </wps:wsp>
                      </wpg:grpSp>
                      <wps:wsp>
                        <wps:cNvPr id="1073741861" name="Shape 1073741861"/>
                        <wps:cNvSpPr/>
                        <wps:spPr>
                          <a:xfrm>
                            <a:off x="3838678" y="1444213"/>
                            <a:ext cx="779954" cy="4952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chemeClr val="accent1"/>
                          </a:solidFill>
                          <a:ln w="25400" cap="flat">
                            <a:solidFill>
                              <a:srgbClr val="FFFFFF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g:grpSp>
                        <wpg:cNvPr id="1073741864" name="Group 1073741864"/>
                        <wpg:cNvGrpSpPr/>
                        <wpg:grpSpPr>
                          <a:xfrm>
                            <a:off x="3925341" y="1526540"/>
                            <a:ext cx="779954" cy="495271"/>
                            <a:chOff x="0" y="0"/>
                            <a:chExt cx="779953" cy="495270"/>
                          </a:xfrm>
                        </wpg:grpSpPr>
                        <wps:wsp>
                          <wps:cNvPr id="1073741862" name="Shape 1073741862"/>
                          <wps:cNvSpPr/>
                          <wps:spPr>
                            <a:xfrm>
                              <a:off x="0" y="0"/>
                              <a:ext cx="779954" cy="495271"/>
                            </a:xfrm>
                            <a:prstGeom prst="roundRect">
                              <a:avLst>
                                <a:gd name="adj" fmla="val 10000"/>
                              </a:avLst>
                            </a:prstGeom>
                            <a:solidFill>
                              <a:srgbClr val="FFFFFF">
                                <a:alpha val="90000"/>
                              </a:srgbClr>
                            </a:solidFill>
                            <a:ln w="25400" cap="flat">
                              <a:solidFill>
                                <a:schemeClr val="accent1"/>
                              </a:solidFill>
                              <a:prstDash val="solid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073741863" name="Shape 1073741863"/>
                          <wps:cNvSpPr txBox="1"/>
                          <wps:spPr>
                            <a:xfrm>
                              <a:off x="14506" y="14506"/>
                              <a:ext cx="750942" cy="466259"/>
                            </a:xfrm>
                            <a:prstGeom prst="rect">
                              <a:avLst/>
                            </a:prstGeom>
                            <a:noFill/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Caption"/>
                                  <w:tabs>
                                    <w:tab w:val="left" w:pos="630"/>
                                  </w:tabs>
                                  <w:spacing w:after="76" w:line="216" w:lineRule="auto"/>
                                  <w:jc w:val="center"/>
                                </w:pPr>
                                <w:r>
                                  <w:rPr>
                                    <w:sz w:val="18"/>
                                    <w:szCs w:val="18"/>
                                    <w:rtl w:val="0"/>
                                    <w:lang w:val="ru-RU"/>
                                  </w:rPr>
                                  <w:t>Отдел ТО и ТС</w:t>
                                </w:r>
                              </w:p>
                            </w:txbxContent>
                          </wps:txbx>
                          <wps:bodyPr wrap="square" lIns="34290" tIns="34290" rIns="34290" bIns="34290" numCol="1" anchor="ctr">
                            <a:noAutofit/>
                          </wps:bodyPr>
                        </wps:wsp>
                      </wpg:grpSp>
                      <wps:wsp>
                        <wps:cNvPr id="1073741865" name="Shape 1073741865"/>
                        <wps:cNvSpPr/>
                        <wps:spPr>
                          <a:xfrm>
                            <a:off x="4791955" y="1444213"/>
                            <a:ext cx="779954" cy="4952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chemeClr val="accent1"/>
                          </a:solidFill>
                          <a:ln w="25400" cap="flat">
                            <a:solidFill>
                              <a:srgbClr val="FFFFFF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g:grpSp>
                        <wpg:cNvPr id="1073741868" name="Group 1073741868"/>
                        <wpg:cNvGrpSpPr/>
                        <wpg:grpSpPr>
                          <a:xfrm>
                            <a:off x="4878616" y="1526540"/>
                            <a:ext cx="779954" cy="495271"/>
                            <a:chOff x="0" y="0"/>
                            <a:chExt cx="779953" cy="495270"/>
                          </a:xfrm>
                        </wpg:grpSpPr>
                        <wps:wsp>
                          <wps:cNvPr id="1073741866" name="Shape 1073741866"/>
                          <wps:cNvSpPr/>
                          <wps:spPr>
                            <a:xfrm>
                              <a:off x="0" y="0"/>
                              <a:ext cx="779954" cy="495271"/>
                            </a:xfrm>
                            <a:prstGeom prst="roundRect">
                              <a:avLst>
                                <a:gd name="adj" fmla="val 10000"/>
                              </a:avLst>
                            </a:prstGeom>
                            <a:solidFill>
                              <a:srgbClr val="FFFFFF">
                                <a:alpha val="90000"/>
                              </a:srgbClr>
                            </a:solidFill>
                            <a:ln w="25400" cap="flat">
                              <a:solidFill>
                                <a:schemeClr val="accent1"/>
                              </a:solidFill>
                              <a:prstDash val="solid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073741867" name="Shape 1073741867"/>
                          <wps:cNvSpPr txBox="1"/>
                          <wps:spPr>
                            <a:xfrm>
                              <a:off x="14506" y="14506"/>
                              <a:ext cx="750942" cy="466259"/>
                            </a:xfrm>
                            <a:prstGeom prst="rect">
                              <a:avLst/>
                            </a:prstGeom>
                            <a:noFill/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Caption"/>
                                  <w:tabs>
                                    <w:tab w:val="left" w:pos="560"/>
                                    <w:tab w:val="left" w:pos="1120"/>
                                  </w:tabs>
                                  <w:spacing w:after="67" w:line="216" w:lineRule="auto"/>
                                  <w:jc w:val="center"/>
                                </w:pPr>
                                <w:r>
                                  <w:rPr>
                                    <w:sz w:val="16"/>
                                    <w:szCs w:val="16"/>
                                    <w:rtl w:val="0"/>
                                    <w:lang w:val="ru-RU"/>
                                  </w:rPr>
                                  <w:t>Отдел по работе с персоналом</w:t>
                                </w:r>
                              </w:p>
                            </w:txbxContent>
                          </wps:txbx>
                          <wps:bodyPr wrap="square" lIns="30480" tIns="30480" rIns="30480" bIns="30480" numCol="1" anchor="ctr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_x0000_s1026" style="visibility:visible;width:445.6pt;height:159.2pt;" coordorigin="0,0" coordsize="5658570,2021811">
                <v:shape id="_x0000_s1027" style="position:absolute;left:4215868;top:1217376;width:966063;height:226836;" coordorigin="0,0" coordsize="21600,21600" path="M 0,0 L 0,14720 L 21600,14720 L 21600,21600 E">
                  <v:fill on="f"/>
                  <v:stroke filltype="solid" color="#4775AB" opacity="100.0%" weight="2.0pt" dashstyle="solid" endcap="flat" joinstyle="round" linestyle="single" startarrow="none" startarrowwidth="medium" startarrowlength="medium" endarrow="none" endarrowwidth="medium" endarrowlength="medium"/>
                </v:shape>
                <v:shape id="_x0000_s1028" style="position:absolute;left:4215868;top:1217376;width:12787;height:226836;" coordorigin="0,0" coordsize="21600,21600" path="M 0,0 L 0,14720 L 21600,14720 L 21600,21600 E">
                  <v:fill on="f"/>
                  <v:stroke filltype="solid" color="#4775AB" opacity="100.0%" weight="2.0pt" dashstyle="solid" endcap="flat" joinstyle="round" linestyle="single" startarrow="none" startarrowwidth="medium" startarrowlength="medium" endarrow="none" endarrowwidth="medium" endarrowlength="medium"/>
                </v:shape>
                <v:shape id="_x0000_s1029" style="position:absolute;left:3262592;top:1217376;width:953276;height:226836;" coordorigin="0,0" coordsize="21600,21600" path="M 21600,0 L 21600,14720 L 0,14720 L 0,21600 E">
                  <v:fill on="f"/>
                  <v:stroke filltype="solid" color="#4775AB" opacity="100.0%" weight="2.0pt" dashstyle="solid" endcap="flat" joinstyle="round" linestyle="single" startarrow="none" startarrowwidth="medium" startarrowlength="medium" endarrow="none" endarrowwidth="medium" endarrowlength="medium"/>
                </v:shape>
                <v:shape id="_x0000_s1030" style="position:absolute;left:2779561;top:495270;width:1436307;height:226836;" coordorigin="0,0" coordsize="21600,21600" path="M 0,0 L 0,14720 L 21600,14720 L 21600,21600 E">
                  <v:fill on="f"/>
                  <v:stroke filltype="solid" color="#3F6696" opacity="100.0%" weight="2.0pt" dashstyle="solid" endcap="flat" joinstyle="round" linestyle="single" startarrow="none" startarrowwidth="medium" startarrowlength="medium" endarrow="none" endarrowwidth="medium" endarrowlength="medium"/>
                </v:shape>
                <v:shape id="_x0000_s1031" style="position:absolute;left:1343253;top:1217376;width:953276;height:226836;" coordorigin="0,0" coordsize="21600,21600" path="M 0,0 L 0,14720 L 21600,14720 L 21600,21600 E">
                  <v:fill on="f"/>
                  <v:stroke filltype="solid" color="#4775AB" opacity="100.0%" weight="2.0pt" dashstyle="solid" endcap="flat" joinstyle="round" linestyle="single" startarrow="none" startarrowwidth="medium" startarrowlength="medium" endarrow="none" endarrowwidth="medium" endarrowlength="medium"/>
                </v:shape>
                <v:line id="_x0000_s1032" style="position:absolute;left:1343253;top:1217376;width:0;height:226836;">
                  <v:fill on="f"/>
                  <v:stroke filltype="solid" color="#4775AB" opacity="100.0%" weight="2.0pt" dashstyle="solid" endcap="flat" joinstyle="round" linestyle="single" startarrow="none" startarrowwidth="medium" startarrowlength="medium" endarrow="none" endarrowwidth="medium" endarrowlength="medium"/>
                </v:line>
                <v:shape id="_x0000_s1033" style="position:absolute;left:389977;top:1217376;width:953276;height:226836;" coordorigin="0,0" coordsize="21600,21600" path="M 21600,0 L 21600,14720 L 0,14720 L 0,21600 E">
                  <v:fill on="f"/>
                  <v:stroke filltype="solid" color="#4775AB" opacity="100.0%" weight="2.0pt" dashstyle="solid" endcap="flat" joinstyle="round" linestyle="single" startarrow="none" startarrowwidth="medium" startarrowlength="medium" endarrow="none" endarrowwidth="medium" endarrowlength="medium"/>
                </v:shape>
                <v:shape id="_x0000_s1034" style="position:absolute;left:1343253;top:495270;width:1436307;height:226836;" coordorigin="0,0" coordsize="21600,21600" path="M 21600,0 L 21600,14720 L 0,14720 L 0,21600 E">
                  <v:fill on="f"/>
                  <v:stroke filltype="solid" color="#3F6696" opacity="100.0%" weight="2.0pt" dashstyle="solid" endcap="flat" joinstyle="round" linestyle="single" startarrow="none" startarrowwidth="medium" startarrowlength="medium" endarrow="none" endarrowwidth="medium" endarrowlength="medium"/>
                </v:shape>
                <v:roundrect id="_x0000_s1035" style="position:absolute;left:2389584;top:0;width:779953;height:495270;" adj="2160">
                  <v:fill color="#4F81BD" opacity="100.0%" type="solid"/>
                  <v:stroke filltype="solid" color="#FFFFFF" opacity="100.0%" weight="2.0pt" dashstyle="solid" endcap="flat" joinstyle="round" linestyle="single" startarrow="none" startarrowwidth="medium" startarrowlength="medium" endarrow="none" endarrowwidth="medium" endarrowlength="medium"/>
                </v:roundrect>
                <v:group id="_x0000_s1036" style="position:absolute;left:2476246;top:82328;width:779953;height:495270;" coordorigin="0,0" coordsize="779953,495270">
                  <v:roundrect id="_x0000_s1037" style="position:absolute;left:0;top:0;width:779953;height:495270;" adj="2160">
                    <v:fill color="#FFFFFF" opacity="90.0%" type="solid"/>
                    <v:stroke filltype="solid" color="#4F81BD" opacity="100.0%" weight="2.0pt" dashstyle="solid" endcap="flat" joinstyle="round" linestyle="single" startarrow="none" startarrowwidth="medium" startarrowlength="medium" endarrow="none" endarrowwidth="medium" endarrowlength="medium"/>
                  </v:roundrect>
                  <v:shape id="_x0000_s1038" type="#_x0000_t202" style="position:absolute;left:14506;top:14506;width:750941;height:466258;">
                    <v:fill on="f"/>
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<v:textbox>
                      <w:txbxContent>
                        <w:p>
                          <w:pPr>
                            <w:pStyle w:val="Caption"/>
                            <w:tabs>
                              <w:tab w:val="left" w:pos="490"/>
                              <w:tab w:val="left" w:pos="980"/>
                            </w:tabs>
                            <w:spacing w:after="59" w:line="216" w:lineRule="auto"/>
                            <w:jc w:val="center"/>
                          </w:pPr>
                          <w:r>
                            <w:rPr>
                              <w:sz w:val="14"/>
                              <w:szCs w:val="14"/>
                              <w:rtl w:val="0"/>
                              <w:lang w:val="ru-RU"/>
                            </w:rPr>
                            <w:t>Генеральный директор</w:t>
                          </w:r>
                        </w:p>
                      </w:txbxContent>
                    </v:textbox>
                  </v:shape>
                </v:group>
                <v:roundrect id="_x0000_s1039" style="position:absolute;left:953276;top:722106;width:779953;height:495270;" adj="2160">
                  <v:fill color="#4F81BD" opacity="100.0%" type="solid"/>
                  <v:stroke filltype="solid" color="#FFFFFF" opacity="100.0%" weight="2.0pt" dashstyle="solid" endcap="flat" joinstyle="round" linestyle="single" startarrow="none" startarrowwidth="medium" startarrowlength="medium" endarrow="none" endarrowwidth="medium" endarrowlength="medium"/>
                </v:roundrect>
                <v:group id="_x0000_s1040" style="position:absolute;left:1039938;top:804435;width:779953;height:495270;" coordorigin="0,0" coordsize="779953,495270">
                  <v:roundrect id="_x0000_s1041" style="position:absolute;left:0;top:0;width:779953;height:495270;" adj="2160">
                    <v:fill color="#FFFFFF" opacity="90.0%" type="solid"/>
                    <v:stroke filltype="solid" color="#4F81BD" opacity="100.0%" weight="2.0pt" dashstyle="solid" endcap="flat" joinstyle="round" linestyle="single" startarrow="none" startarrowwidth="medium" startarrowlength="medium" endarrow="none" endarrowwidth="medium" endarrowlength="medium"/>
                  </v:roundrect>
                  <v:shape id="_x0000_s1042" type="#_x0000_t202" style="position:absolute;left:14506;top:14506;width:750941;height:466258;">
                    <v:fill on="f"/>
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<v:textbox>
                      <w:txbxContent>
                        <w:p>
                          <w:pPr>
                            <w:pStyle w:val="Caption"/>
                            <w:tabs>
                              <w:tab w:val="left" w:pos="630"/>
                            </w:tabs>
                            <w:spacing w:after="76" w:line="216" w:lineRule="auto"/>
                            <w:jc w:val="center"/>
                          </w:pPr>
                          <w:r>
                            <w:rPr>
                              <w:sz w:val="18"/>
                              <w:szCs w:val="18"/>
                              <w:rtl w:val="0"/>
                              <w:lang w:val="ru-RU"/>
                            </w:rPr>
                            <w:t>Заместитель директора</w:t>
                          </w:r>
                        </w:p>
                      </w:txbxContent>
                    </v:textbox>
                  </v:shape>
                </v:group>
                <v:roundrect id="_x0000_s1043" style="position:absolute;left:0;top:1444213;width:779953;height:495270;" adj="2160">
                  <v:fill color="#4F81BD" opacity="100.0%" type="solid"/>
                  <v:stroke filltype="solid" color="#FFFFFF" opacity="100.0%" weight="2.0pt" dashstyle="solid" endcap="flat" joinstyle="round" linestyle="single" startarrow="none" startarrowwidth="medium" startarrowlength="medium" endarrow="none" endarrowwidth="medium" endarrowlength="medium"/>
                </v:roundrect>
                <v:group id="_x0000_s1044" style="position:absolute;left:86662;top:1526541;width:779953;height:495270;" coordorigin="0,0" coordsize="779953,495270">
                  <v:roundrect id="_x0000_s1045" style="position:absolute;left:0;top:0;width:779953;height:495270;" adj="2160">
                    <v:fill color="#FFFFFF" opacity="90.0%" type="solid"/>
                    <v:stroke filltype="solid" color="#4F81BD" opacity="100.0%" weight="2.0pt" dashstyle="solid" endcap="flat" joinstyle="round" linestyle="single" startarrow="none" startarrowwidth="medium" startarrowlength="medium" endarrow="none" endarrowwidth="medium" endarrowlength="medium"/>
                  </v:roundrect>
                  <v:shape id="_x0000_s1046" type="#_x0000_t202" style="position:absolute;left:14506;top:14506;width:750941;height:466258;">
                    <v:fill on="f"/>
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<v:textbox>
                      <w:txbxContent>
                        <w:p>
                          <w:pPr>
                            <w:pStyle w:val="Caption"/>
                            <w:tabs>
                              <w:tab w:val="left" w:pos="560"/>
                              <w:tab w:val="left" w:pos="1120"/>
                            </w:tabs>
                            <w:spacing w:after="67" w:line="216" w:lineRule="auto"/>
                            <w:jc w:val="center"/>
                          </w:pPr>
                          <w:r>
                            <w:rPr>
                              <w:sz w:val="16"/>
                              <w:szCs w:val="16"/>
                              <w:rtl w:val="0"/>
                              <w:lang w:val="ru-RU"/>
                            </w:rPr>
                            <w:t>Отдел по работе с клиентами</w:t>
                          </w:r>
                        </w:p>
                      </w:txbxContent>
                    </v:textbox>
                  </v:shape>
                </v:group>
                <v:roundrect id="_x0000_s1047" style="position:absolute;left:953276;top:1444213;width:779953;height:495270;" adj="2160">
                  <v:fill color="#4F81BD" opacity="100.0%" type="solid"/>
                  <v:stroke filltype="solid" color="#FFFFFF" opacity="100.0%" weight="2.0pt" dashstyle="solid" endcap="flat" joinstyle="round" linestyle="single" startarrow="none" startarrowwidth="medium" startarrowlength="medium" endarrow="none" endarrowwidth="medium" endarrowlength="medium"/>
                </v:roundrect>
                <v:group id="_x0000_s1048" style="position:absolute;left:1039938;top:1526541;width:779953;height:495270;" coordorigin="0,0" coordsize="779953,495270">
                  <v:roundrect id="_x0000_s1049" style="position:absolute;left:0;top:0;width:779953;height:495270;" adj="2160">
                    <v:fill color="#FFFFFF" opacity="90.0%" type="solid"/>
                    <v:stroke filltype="solid" color="#4F81BD" opacity="100.0%" weight="2.0pt" dashstyle="solid" endcap="flat" joinstyle="round" linestyle="single" startarrow="none" startarrowwidth="medium" startarrowlength="medium" endarrow="none" endarrowwidth="medium" endarrowlength="medium"/>
                  </v:roundrect>
                  <v:shape id="_x0000_s1050" type="#_x0000_t202" style="position:absolute;left:14506;top:14506;width:750941;height:466258;">
                    <v:fill on="f"/>
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<v:textbox>
                      <w:txbxContent>
                        <w:p>
                          <w:pPr>
                            <w:pStyle w:val="Caption"/>
                            <w:tabs>
                              <w:tab w:val="left" w:pos="490"/>
                              <w:tab w:val="left" w:pos="980"/>
                            </w:tabs>
                            <w:spacing w:after="59" w:line="216" w:lineRule="auto"/>
                            <w:jc w:val="center"/>
                          </w:pPr>
                          <w:r>
                            <w:rPr>
                              <w:sz w:val="14"/>
                              <w:szCs w:val="14"/>
                              <w:rtl w:val="0"/>
                              <w:lang w:val="ru-RU"/>
                            </w:rPr>
                            <w:t>Удостоверяющий центр</w:t>
                          </w:r>
                        </w:p>
                      </w:txbxContent>
                    </v:textbox>
                  </v:shape>
                </v:group>
                <v:roundrect id="_x0000_s1051" style="position:absolute;left:1906552;top:1444213;width:779953;height:495270;" adj="2160">
                  <v:fill color="#4F81BD" opacity="100.0%" type="solid"/>
                  <v:stroke filltype="solid" color="#FFFFFF" opacity="100.0%" weight="2.0pt" dashstyle="solid" endcap="flat" joinstyle="round" linestyle="single" startarrow="none" startarrowwidth="medium" startarrowlength="medium" endarrow="none" endarrowwidth="medium" endarrowlength="medium"/>
                </v:roundrect>
                <v:group id="_x0000_s1052" style="position:absolute;left:1993214;top:1526541;width:779953;height:495270;" coordorigin="0,0" coordsize="779953,495270">
                  <v:roundrect id="_x0000_s1053" style="position:absolute;left:0;top:0;width:779953;height:495270;" adj="2160">
                    <v:fill color="#FFFFFF" opacity="90.0%" type="solid"/>
                    <v:stroke filltype="solid" color="#4F81BD" opacity="100.0%" weight="2.0pt" dashstyle="solid" endcap="flat" joinstyle="round" linestyle="single" startarrow="none" startarrowwidth="medium" startarrowlength="medium" endarrow="none" endarrowwidth="medium" endarrowlength="medium"/>
                  </v:roundrect>
                  <v:shape id="_x0000_s1054" type="#_x0000_t202" style="position:absolute;left:14506;top:14506;width:750941;height:466258;">
                    <v:fill on="f"/>
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<v:textbox>
                      <w:txbxContent>
                        <w:p>
                          <w:pPr>
                            <w:pStyle w:val="Caption"/>
                            <w:tabs>
                              <w:tab w:val="left" w:pos="490"/>
                              <w:tab w:val="left" w:pos="980"/>
                            </w:tabs>
                            <w:spacing w:after="59" w:line="216" w:lineRule="auto"/>
                            <w:jc w:val="center"/>
                          </w:pPr>
                          <w:r>
                            <w:rPr>
                              <w:sz w:val="14"/>
                              <w:szCs w:val="14"/>
                              <w:rtl w:val="0"/>
                              <w:lang w:val="ru-RU"/>
                            </w:rPr>
                            <w:t>Отдел разработки и сопровождения ПО</w:t>
                          </w:r>
                        </w:p>
                      </w:txbxContent>
                    </v:textbox>
                  </v:shape>
                </v:group>
                <v:roundrect id="_x0000_s1055" style="position:absolute;left:3825892;top:722106;width:779953;height:495270;" adj="2160">
                  <v:fill color="#4F81BD" opacity="100.0%" type="solid"/>
                  <v:stroke filltype="solid" color="#FFFFFF" opacity="100.0%" weight="2.0pt" dashstyle="solid" endcap="flat" joinstyle="round" linestyle="single" startarrow="none" startarrowwidth="medium" startarrowlength="medium" endarrow="none" endarrowwidth="medium" endarrowlength="medium"/>
                </v:roundrect>
                <v:group id="_x0000_s1056" style="position:absolute;left:3912553;top:804435;width:779953;height:495270;" coordorigin="0,0" coordsize="779953,495270">
                  <v:roundrect id="_x0000_s1057" style="position:absolute;left:0;top:0;width:779953;height:495270;" adj="2160">
                    <v:fill color="#FFFFFF" opacity="90.0%" type="solid"/>
                    <v:stroke filltype="solid" color="#4F81BD" opacity="100.0%" weight="2.0pt" dashstyle="solid" endcap="flat" joinstyle="round" linestyle="single" startarrow="none" startarrowwidth="medium" startarrowlength="medium" endarrow="none" endarrowwidth="medium" endarrowlength="medium"/>
                  </v:roundrect>
                  <v:shape id="_x0000_s1058" type="#_x0000_t202" style="position:absolute;left:14506;top:14506;width:750941;height:466258;">
                    <v:fill on="f"/>
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<v:textbox>
                      <w:txbxContent>
                        <w:p>
                          <w:pPr>
                            <w:pStyle w:val="Caption"/>
                            <w:tabs>
                              <w:tab w:val="left" w:pos="630"/>
                            </w:tabs>
                            <w:spacing w:after="76" w:line="216" w:lineRule="auto"/>
                            <w:jc w:val="center"/>
                          </w:pPr>
                          <w:r>
                            <w:rPr>
                              <w:sz w:val="18"/>
                              <w:szCs w:val="18"/>
                              <w:rtl w:val="0"/>
                              <w:lang w:val="ru-RU"/>
                            </w:rPr>
                            <w:t>Заместитель директора</w:t>
                          </w:r>
                        </w:p>
                      </w:txbxContent>
                    </v:textbox>
                  </v:shape>
                </v:group>
                <v:roundrect id="_x0000_s1059" style="position:absolute;left:2859828;top:1444213;width:805527;height:495270;" adj="2160">
                  <v:fill color="#4F81BD" opacity="100.0%" type="solid"/>
                  <v:stroke filltype="solid" color="#FFFFFF" opacity="100.0%" weight="2.0pt" dashstyle="solid" endcap="flat" joinstyle="round" linestyle="single" startarrow="none" startarrowwidth="medium" startarrowlength="medium" endarrow="none" endarrowwidth="medium" endarrowlength="medium"/>
                </v:roundrect>
                <v:group id="_x0000_s1060" style="position:absolute;left:2946490;top:1526541;width:805527;height:495270;" coordorigin="0,0" coordsize="805527,495270">
                  <v:roundrect id="_x0000_s1061" style="position:absolute;left:0;top:0;width:805527;height:495270;" adj="2160">
                    <v:fill color="#FFFFFF" opacity="90.0%" type="solid"/>
                    <v:stroke filltype="solid" color="#4F81BD" opacity="100.0%" weight="2.0pt" dashstyle="solid" endcap="flat" joinstyle="round" linestyle="single" startarrow="none" startarrowwidth="medium" startarrowlength="medium" endarrow="none" endarrowwidth="medium" endarrowlength="medium"/>
                  </v:roundrect>
                  <v:shape id="_x0000_s1062" type="#_x0000_t202" style="position:absolute;left:14506;top:14506;width:776515;height:466258;">
                    <v:fill on="f"/>
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<v:textbox>
                      <w:txbxContent>
                        <w:p>
                          <w:pPr>
                            <w:pStyle w:val="Caption"/>
                            <w:tabs>
                              <w:tab w:val="left" w:pos="560"/>
                              <w:tab w:val="left" w:pos="1120"/>
                            </w:tabs>
                            <w:spacing w:after="67" w:line="216" w:lineRule="auto"/>
                            <w:jc w:val="center"/>
                          </w:pPr>
                          <w:r>
                            <w:rPr>
                              <w:sz w:val="16"/>
                              <w:szCs w:val="16"/>
                              <w:rtl w:val="0"/>
                              <w:lang w:val="ru-RU"/>
                            </w:rPr>
                            <w:t>Экономический отдел</w:t>
                          </w:r>
                        </w:p>
                      </w:txbxContent>
                    </v:textbox>
                  </v:shape>
                </v:group>
                <v:roundrect id="_x0000_s1063" style="position:absolute;left:3838679;top:1444213;width:779953;height:495270;" adj="2160">
                  <v:fill color="#4F81BD" opacity="100.0%" type="solid"/>
                  <v:stroke filltype="solid" color="#FFFFFF" opacity="100.0%" weight="2.0pt" dashstyle="solid" endcap="flat" joinstyle="round" linestyle="single" startarrow="none" startarrowwidth="medium" startarrowlength="medium" endarrow="none" endarrowwidth="medium" endarrowlength="medium"/>
                </v:roundrect>
                <v:group id="_x0000_s1064" style="position:absolute;left:3925341;top:1526541;width:779953;height:495270;" coordorigin="0,0" coordsize="779953,495270">
                  <v:roundrect id="_x0000_s1065" style="position:absolute;left:0;top:0;width:779953;height:495270;" adj="2160">
                    <v:fill color="#FFFFFF" opacity="90.0%" type="solid"/>
                    <v:stroke filltype="solid" color="#4F81BD" opacity="100.0%" weight="2.0pt" dashstyle="solid" endcap="flat" joinstyle="round" linestyle="single" startarrow="none" startarrowwidth="medium" startarrowlength="medium" endarrow="none" endarrowwidth="medium" endarrowlength="medium"/>
                  </v:roundrect>
                  <v:shape id="_x0000_s1066" type="#_x0000_t202" style="position:absolute;left:14506;top:14506;width:750941;height:466258;">
                    <v:fill on="f"/>
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<v:textbox>
                      <w:txbxContent>
                        <w:p>
                          <w:pPr>
                            <w:pStyle w:val="Caption"/>
                            <w:tabs>
                              <w:tab w:val="left" w:pos="630"/>
                            </w:tabs>
                            <w:spacing w:after="76" w:line="216" w:lineRule="auto"/>
                            <w:jc w:val="center"/>
                          </w:pPr>
                          <w:r>
                            <w:rPr>
                              <w:sz w:val="18"/>
                              <w:szCs w:val="18"/>
                              <w:rtl w:val="0"/>
                              <w:lang w:val="ru-RU"/>
                            </w:rPr>
                            <w:t>Отдел ТО и ТС</w:t>
                          </w:r>
                        </w:p>
                      </w:txbxContent>
                    </v:textbox>
                  </v:shape>
                </v:group>
                <v:roundrect id="_x0000_s1067" style="position:absolute;left:4791955;top:1444213;width:779953;height:495270;" adj="2160">
                  <v:fill color="#4F81BD" opacity="100.0%" type="solid"/>
                  <v:stroke filltype="solid" color="#FFFFFF" opacity="100.0%" weight="2.0pt" dashstyle="solid" endcap="flat" joinstyle="round" linestyle="single" startarrow="none" startarrowwidth="medium" startarrowlength="medium" endarrow="none" endarrowwidth="medium" endarrowlength="medium"/>
                </v:roundrect>
                <v:group id="_x0000_s1068" style="position:absolute;left:4878617;top:1526541;width:779953;height:495270;" coordorigin="0,0" coordsize="779953,495270">
                  <v:roundrect id="_x0000_s1069" style="position:absolute;left:0;top:0;width:779953;height:495270;" adj="2160">
                    <v:fill color="#FFFFFF" opacity="90.0%" type="solid"/>
                    <v:stroke filltype="solid" color="#4F81BD" opacity="100.0%" weight="2.0pt" dashstyle="solid" endcap="flat" joinstyle="round" linestyle="single" startarrow="none" startarrowwidth="medium" startarrowlength="medium" endarrow="none" endarrowwidth="medium" endarrowlength="medium"/>
                  </v:roundrect>
                  <v:shape id="_x0000_s1070" type="#_x0000_t202" style="position:absolute;left:14506;top:14506;width:750941;height:466258;">
                    <v:fill on="f"/>
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<v:textbox>
                      <w:txbxContent>
                        <w:p>
                          <w:pPr>
                            <w:pStyle w:val="Caption"/>
                            <w:tabs>
                              <w:tab w:val="left" w:pos="560"/>
                              <w:tab w:val="left" w:pos="1120"/>
                            </w:tabs>
                            <w:spacing w:after="67" w:line="216" w:lineRule="auto"/>
                            <w:jc w:val="center"/>
                          </w:pPr>
                          <w:r>
                            <w:rPr>
                              <w:sz w:val="16"/>
                              <w:szCs w:val="16"/>
                              <w:rtl w:val="0"/>
                              <w:lang w:val="ru-RU"/>
                            </w:rPr>
                            <w:t>Отдел по работе с персоналом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>
      <w:pPr>
        <w:pStyle w:val="А"/>
      </w:pPr>
      <w:r>
        <w:rPr>
          <w:rtl w:val="0"/>
          <w:lang w:val="ru-RU"/>
        </w:rPr>
        <w:t xml:space="preserve">Рисунок </w:t>
      </w:r>
      <w:r>
        <w:rPr>
          <w:rtl w:val="0"/>
          <w:lang w:val="ru-RU"/>
        </w:rPr>
        <w:t xml:space="preserve">1 </w:t>
      </w:r>
      <w:r>
        <w:rPr>
          <w:rtl w:val="0"/>
          <w:lang w:val="ru-RU"/>
        </w:rPr>
        <w:t>– Организационная структура Службы одного окна</w:t>
      </w:r>
    </w:p>
    <w:p>
      <w:pPr>
        <w:pStyle w:val="Normal.0"/>
      </w:pPr>
    </w:p>
    <w:p>
      <w:pPr>
        <w:pStyle w:val="А"/>
      </w:pPr>
      <w:r>
        <w:rPr>
          <w:rtl w:val="0"/>
          <w:lang w:val="ru-RU"/>
        </w:rPr>
        <w:t xml:space="preserve">Как показано на рисунке </w:t>
      </w:r>
      <w:r>
        <w:rPr>
          <w:rtl w:val="0"/>
          <w:lang w:val="ru-RU"/>
        </w:rPr>
        <w:t xml:space="preserve">1, </w:t>
      </w:r>
      <w:r>
        <w:rPr>
          <w:rtl w:val="0"/>
          <w:lang w:val="ru-RU"/>
        </w:rPr>
        <w:t>организационная структура Службы одного окна включает руководство в лице генерального директора и двух заместителей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один из которых курирует работу подразделений по работе с клиентами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другой – отделов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обеспечивающих работу компании</w:t>
      </w:r>
      <w:r>
        <w:rPr>
          <w:rtl w:val="0"/>
          <w:lang w:val="ru-RU"/>
        </w:rPr>
        <w:t>.</w:t>
      </w:r>
    </w:p>
    <w:p>
      <w:pPr>
        <w:pStyle w:val="А"/>
      </w:pPr>
      <w:r>
        <w:rPr>
          <w:rtl w:val="0"/>
          <w:lang w:val="ru-RU"/>
        </w:rPr>
        <w:t>Отдел по работе с клиентами курирует вопросы работы с заказами на услуги компании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заключения договоров на обслуживание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оформление и выдачу документации</w:t>
      </w:r>
      <w:r>
        <w:rPr>
          <w:rtl w:val="0"/>
          <w:lang w:val="ru-RU"/>
        </w:rPr>
        <w:t>.</w:t>
      </w:r>
    </w:p>
    <w:p>
      <w:pPr>
        <w:pStyle w:val="А"/>
      </w:pPr>
      <w:r>
        <w:rPr>
          <w:rtl w:val="0"/>
          <w:lang w:val="ru-RU"/>
        </w:rPr>
        <w:t>Специалисты удостоверяющего центра курируют вопросы оказания услуг по обороту сертификатов электронной подписи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функционирования систем электронного документооборота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работу клиентов с торговыми площадками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рамках работы удостоверяющего центра специалистами компании проводится контроль актуальности сертификатов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функциональности плагинов и программных систем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использующих системы электронной подписи</w:t>
      </w:r>
      <w:r>
        <w:rPr>
          <w:rtl w:val="0"/>
          <w:lang w:val="ru-RU"/>
        </w:rPr>
        <w:t>.</w:t>
      </w:r>
    </w:p>
    <w:p>
      <w:pPr>
        <w:pStyle w:val="А"/>
      </w:pPr>
      <w:r>
        <w:rPr>
          <w:rtl w:val="0"/>
          <w:lang w:val="ru-RU"/>
        </w:rPr>
        <w:t>Специалисты отдела разработки курируют вопросы оказания услуг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связанных с разработкой и сопровождением программного обеспечения</w:t>
      </w:r>
      <w:r>
        <w:rPr>
          <w:rtl w:val="0"/>
          <w:lang w:val="ru-RU"/>
        </w:rPr>
        <w:t>.</w:t>
      </w:r>
    </w:p>
    <w:p>
      <w:pPr>
        <w:pStyle w:val="А"/>
      </w:pPr>
      <w:r>
        <w:rPr>
          <w:rtl w:val="0"/>
          <w:lang w:val="ru-RU"/>
        </w:rPr>
        <w:t>В компетенцию специалистов экономического отдела входят вопросы ведения бухгалтерского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налогового учета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учета заработной платы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подготовки отчётности в государственные органы в рамках деятельности компании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также вопросы разработки ценовой политики на услуги организации</w:t>
      </w:r>
      <w:r>
        <w:rPr>
          <w:rtl w:val="0"/>
          <w:lang w:val="ru-RU"/>
        </w:rPr>
        <w:t xml:space="preserve">.  </w:t>
      </w:r>
    </w:p>
    <w:p>
      <w:pPr>
        <w:pStyle w:val="А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рамках анализа технологий обеспечения информационной безопасности Службы одного окна был проведен аудит технологий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связанных с обеспечением защиты информации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Анализ основных процессов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связанных с обеспечением информационной безопасности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приведен в таблице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1.1.</w:t>
      </w:r>
    </w:p>
    <w:p>
      <w:pPr>
        <w:pStyle w:val="А"/>
        <w:jc w:val="right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Таблица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1.1 </w:t>
      </w:r>
    </w:p>
    <w:p>
      <w:pPr>
        <w:pStyle w:val="А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Бизнес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процессы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связанные с обработкой конфиденциальной информации в условиях </w:t>
      </w:r>
      <w:r>
        <w:rPr>
          <w:rtl w:val="0"/>
          <w:lang w:val="ru-RU"/>
        </w:rPr>
        <w:t>службы одного окна</w:t>
      </w:r>
    </w:p>
    <w:tbl>
      <w:tblPr>
        <w:tblW w:w="9287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538"/>
        <w:gridCol w:w="574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5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Бизнес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процесс</w:t>
            </w:r>
          </w:p>
        </w:tc>
        <w:tc>
          <w:tcPr>
            <w:tcW w:type="dxa" w:w="57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Объект защиты информации</w:t>
            </w:r>
          </w:p>
        </w:tc>
      </w:tr>
      <w:tr>
        <w:tblPrEx>
          <w:shd w:val="clear" w:color="auto" w:fill="ced7e7"/>
        </w:tblPrEx>
        <w:trPr>
          <w:trHeight w:val="1278" w:hRule="atLeast"/>
        </w:trPr>
        <w:tc>
          <w:tcPr>
            <w:tcW w:type="dxa" w:w="35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Услуги по обороту сертификатов электронной подписи</w:t>
            </w:r>
          </w:p>
        </w:tc>
        <w:tc>
          <w:tcPr>
            <w:tcW w:type="dxa" w:w="57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Сертификаты электронной подписи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копии сертификатов на бумажных носителях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данные пользователей – абонентов системы электронного документооборота</w:t>
            </w:r>
          </w:p>
        </w:tc>
      </w:tr>
      <w:tr>
        <w:tblPrEx>
          <w:shd w:val="clear" w:color="auto" w:fill="ced7e7"/>
        </w:tblPrEx>
        <w:trPr>
          <w:trHeight w:val="638" w:hRule="atLeast"/>
        </w:trPr>
        <w:tc>
          <w:tcPr>
            <w:tcW w:type="dxa" w:w="35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Работа с персоналом</w:t>
            </w:r>
          </w:p>
        </w:tc>
        <w:tc>
          <w:tcPr>
            <w:tcW w:type="dxa" w:w="57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Персональные данные работников Службы одного окна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5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Услуги облачных сервисов</w:t>
            </w:r>
          </w:p>
        </w:tc>
        <w:tc>
          <w:tcPr>
            <w:tcW w:type="dxa" w:w="57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Данные виртуальных сред фирм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клиентов</w:t>
            </w:r>
          </w:p>
        </w:tc>
      </w:tr>
      <w:tr>
        <w:tblPrEx>
          <w:shd w:val="clear" w:color="auto" w:fill="ced7e7"/>
        </w:tblPrEx>
        <w:trPr>
          <w:trHeight w:val="638" w:hRule="atLeast"/>
        </w:trPr>
        <w:tc>
          <w:tcPr>
            <w:tcW w:type="dxa" w:w="35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Базы данных фирм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клиентов</w:t>
            </w:r>
          </w:p>
        </w:tc>
        <w:tc>
          <w:tcPr>
            <w:tcW w:type="dxa" w:w="57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Информация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содержащаяся в базах данных фирм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клиентов</w:t>
            </w:r>
          </w:p>
        </w:tc>
      </w:tr>
      <w:tr>
        <w:tblPrEx>
          <w:shd w:val="clear" w:color="auto" w:fill="ced7e7"/>
        </w:tblPrEx>
        <w:trPr>
          <w:trHeight w:val="638" w:hRule="atLeast"/>
        </w:trPr>
        <w:tc>
          <w:tcPr>
            <w:tcW w:type="dxa" w:w="35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Разработка программного обеспечения</w:t>
            </w:r>
          </w:p>
        </w:tc>
        <w:tc>
          <w:tcPr>
            <w:tcW w:type="dxa" w:w="57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Программные коды</w:t>
            </w:r>
          </w:p>
        </w:tc>
      </w:tr>
      <w:tr>
        <w:tblPrEx>
          <w:shd w:val="clear" w:color="auto" w:fill="ced7e7"/>
        </w:tblPrEx>
        <w:trPr>
          <w:trHeight w:val="1278" w:hRule="atLeast"/>
        </w:trPr>
        <w:tc>
          <w:tcPr>
            <w:tcW w:type="dxa" w:w="35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А"/>
              <w:spacing w:line="240" w:lineRule="auto"/>
              <w:ind w:firstLine="0"/>
            </w:pPr>
            <w:r>
              <w:rPr>
                <w:shd w:val="nil" w:color="auto" w:fill="auto"/>
                <w:rtl w:val="0"/>
                <w:lang w:val="ru-RU"/>
              </w:rPr>
              <w:t>Документы о структуре системы информационной безопасности службы одного окна</w:t>
            </w:r>
          </w:p>
        </w:tc>
        <w:tc>
          <w:tcPr>
            <w:tcW w:type="dxa" w:w="57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А"/>
              <w:ind w:firstLine="0"/>
            </w:pPr>
            <w:r>
              <w:rPr>
                <w:shd w:val="nil" w:color="auto" w:fill="auto"/>
                <w:rtl w:val="0"/>
                <w:lang w:val="ru-RU"/>
              </w:rPr>
              <w:t>Данные о структуре системы информационной безопасности службы одного окна</w:t>
            </w:r>
          </w:p>
        </w:tc>
      </w:tr>
      <w:tr>
        <w:tblPrEx>
          <w:shd w:val="clear" w:color="auto" w:fill="ced7e7"/>
        </w:tblPrEx>
        <w:trPr>
          <w:trHeight w:val="792" w:hRule="atLeast"/>
        </w:trPr>
        <w:tc>
          <w:tcPr>
            <w:tcW w:type="dxa" w:w="35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А"/>
              <w:spacing w:line="240" w:lineRule="auto"/>
              <w:ind w:firstLine="0"/>
            </w:pPr>
            <w:r>
              <w:rPr>
                <w:shd w:val="nil" w:color="auto" w:fill="auto"/>
                <w:rtl w:val="0"/>
                <w:lang w:val="en-US"/>
              </w:rPr>
              <w:t>Web-</w:t>
            </w:r>
            <w:r>
              <w:rPr>
                <w:shd w:val="nil" w:color="auto" w:fill="auto"/>
                <w:rtl w:val="0"/>
                <w:lang w:val="ru-RU"/>
              </w:rPr>
              <w:t>разработки</w:t>
            </w:r>
          </w:p>
        </w:tc>
        <w:tc>
          <w:tcPr>
            <w:tcW w:type="dxa" w:w="57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А"/>
              <w:ind w:firstLine="0"/>
            </w:pPr>
            <w:r>
              <w:rPr>
                <w:shd w:val="nil" w:color="auto" w:fill="auto"/>
                <w:rtl w:val="0"/>
                <w:lang w:val="ru-RU"/>
              </w:rPr>
              <w:t>Информация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 xml:space="preserve">содержащаяся в </w:t>
            </w:r>
            <w:r>
              <w:rPr>
                <w:shd w:val="nil" w:color="auto" w:fill="auto"/>
                <w:rtl w:val="0"/>
                <w:lang w:val="en-US"/>
              </w:rPr>
              <w:t>Web</w:t>
            </w:r>
            <w:r>
              <w:rPr>
                <w:shd w:val="nil" w:color="auto" w:fill="auto"/>
                <w:rtl w:val="0"/>
                <w:lang w:val="ru-RU"/>
              </w:rPr>
              <w:t>-</w:t>
            </w:r>
            <w:r>
              <w:rPr>
                <w:shd w:val="nil" w:color="auto" w:fill="auto"/>
                <w:rtl w:val="0"/>
                <w:lang w:val="ru-RU"/>
              </w:rPr>
              <w:t>порталах фирм</w:t>
            </w:r>
            <w:r>
              <w:rPr>
                <w:shd w:val="nil" w:color="auto" w:fill="auto"/>
                <w:rtl w:val="0"/>
                <w:lang w:val="ru-RU"/>
              </w:rPr>
              <w:t>-</w:t>
            </w:r>
            <w:r>
              <w:rPr>
                <w:shd w:val="nil" w:color="auto" w:fill="auto"/>
                <w:rtl w:val="0"/>
                <w:lang w:val="ru-RU"/>
              </w:rPr>
              <w:t>клиентов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 xml:space="preserve">данные аутентификации </w:t>
            </w:r>
          </w:p>
        </w:tc>
      </w:tr>
    </w:tbl>
    <w:p>
      <w:pPr>
        <w:pStyle w:val="А"/>
        <w:widowControl w:val="0"/>
        <w:spacing w:line="240" w:lineRule="auto"/>
        <w:ind w:firstLine="0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firstLine="708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708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Компоненты системы защиты информации в службы одного окна приведены на рисунке </w:t>
      </w:r>
      <w:r>
        <w:rPr>
          <w:rFonts w:ascii="Times New Roman" w:hAnsi="Times New Roman"/>
          <w:sz w:val="28"/>
          <w:szCs w:val="28"/>
          <w:rtl w:val="0"/>
          <w:lang w:val="ru-RU"/>
        </w:rPr>
        <w:t>2.</w:t>
      </w:r>
    </w:p>
    <w:p>
      <w:pPr>
        <w:pStyle w:val="Normal.0"/>
        <w:ind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</w:rPr>
        <w:drawing>
          <wp:inline distT="0" distB="0" distL="0" distR="0">
            <wp:extent cx="5756149" cy="1770793"/>
            <wp:effectExtent l="0" t="0" r="0" b="0"/>
            <wp:docPr id="1073741870" name="officeArt object" descr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70" name="Picture 3" descr="Picture 3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149" cy="177079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А"/>
      </w:pPr>
      <w:r>
        <w:rPr>
          <w:rtl w:val="0"/>
          <w:lang w:val="ru-RU"/>
        </w:rPr>
        <w:t xml:space="preserve">Рисунок </w:t>
      </w:r>
      <w:r>
        <w:rPr>
          <w:rtl w:val="0"/>
          <w:lang w:val="ru-RU"/>
        </w:rPr>
        <w:t xml:space="preserve">2 - </w:t>
      </w:r>
      <w:r>
        <w:rPr>
          <w:rtl w:val="0"/>
          <w:lang w:val="ru-RU"/>
        </w:rPr>
        <w:t>Система защиты информации в службы одного окна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Как показано на рисунке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система защиты информации организована по линейно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функциональному принципу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Специалисты по защите информации в условиях службы одного окна организационно входят в две группы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входящие в отдел информационной безопасности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Группа организационного обеспечения защиты информации включает в себя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группу по организационному обеспечению технологии защиты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группу по технологическому обеспечению защиты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Специалисты группы по организационному обеспечению защиты информации курируют вопросы функционирования программного и аппаратного обеспечения технологий информационной безопасности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 ним относятся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установка и настройка криптографического ПО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системы антивирусной защиты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специализированного программного обеспечения в области защиты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настройка и обслуживание систем видеонаблюдения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системы контроля управления доступом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Информация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циркулирующая в системе службы одного окна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может предоставляться и обрабатываться как в автоматизированной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 и в неавтоматизированной форме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heading 1"/>
      </w:pPr>
      <w:bookmarkStart w:name="_Toc3" w:id="3"/>
      <w:r>
        <w:rPr>
          <w:rFonts w:cs="Arial Unicode MS" w:eastAsia="Arial Unicode MS"/>
          <w:rtl w:val="0"/>
          <w:lang w:val="ru-RU"/>
        </w:rPr>
        <w:t xml:space="preserve">1.2. </w:t>
      </w:r>
      <w:r>
        <w:rPr>
          <w:rFonts w:cs="Arial Unicode MS" w:eastAsia="Arial Unicode MS" w:hint="default"/>
          <w:rtl w:val="0"/>
          <w:lang w:val="ru-RU"/>
        </w:rPr>
        <w:t>Анализ рисков информационной безопасности</w:t>
      </w:r>
      <w:bookmarkEnd w:id="3"/>
    </w:p>
    <w:p>
      <w:pPr>
        <w:pStyle w:val="heading 1"/>
      </w:pPr>
      <w:bookmarkStart w:name="_Toc4" w:id="4"/>
      <w:r>
        <w:rPr>
          <w:rFonts w:cs="Arial Unicode MS" w:eastAsia="Arial Unicode MS"/>
          <w:rtl w:val="0"/>
          <w:lang w:val="ru-RU"/>
        </w:rPr>
        <w:t xml:space="preserve">1.2.1. </w:t>
      </w:r>
      <w:r>
        <w:rPr>
          <w:rFonts w:cs="Arial Unicode MS" w:eastAsia="Arial Unicode MS" w:hint="default"/>
          <w:rtl w:val="0"/>
          <w:lang w:val="ru-RU"/>
        </w:rPr>
        <w:t>Идентификация и оценка информационных активов</w:t>
      </w:r>
      <w:bookmarkEnd w:id="4"/>
    </w:p>
    <w:p>
      <w:pPr>
        <w:pStyle w:val="HTML Preformatted"/>
        <w:tabs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HTML Preformatted"/>
        <w:tabs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рамках данной работы проведена оценка системы защищенности экспертной системы автоматизированного управления организацией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Модулями экспертной системы являются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HTML Preformatted"/>
        <w:tabs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Модуль анализа защищенности облачных сервисов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HTML Preformatted"/>
        <w:tabs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База знаний экспертной системы автоматизированного управления организацией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HTML Preformatted"/>
        <w:tabs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Модуль оценки защищенности криптографических системы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HTML Preformatted"/>
        <w:tabs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Модуль оценки защищенности </w:t>
      </w:r>
      <w:r>
        <w:rPr>
          <w:rFonts w:ascii="Times New Roman" w:hAnsi="Times New Roman"/>
          <w:sz w:val="28"/>
          <w:szCs w:val="28"/>
          <w:rtl w:val="0"/>
          <w:lang w:val="en-US"/>
        </w:rPr>
        <w:t>Web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сервисов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HTML Preformatted"/>
        <w:tabs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Модуль оценки системы защиты систем разработки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HTML Preformatted"/>
        <w:tabs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Модуль защиты сетевых подключений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Использование экспертной системы защиты данных позволяет обеспечивать необходимые параметры защищенности информационных ресурсов организаций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клиентов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Принятие усиленных мер обеспечения информационной безопасности связано с необходимостью сведения к нулю вероятности потери данных облачных сервисов фирм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клиентов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также простоев в работе системы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вызванных нарушениями в работе системы обеспечения защиты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А"/>
      </w:pPr>
      <w:r>
        <w:rPr>
          <w:rtl w:val="0"/>
          <w:lang w:val="ru-RU"/>
        </w:rPr>
        <w:t>ЭС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используемые в оценке защищенности информационной системы включают модули поддержки принятия решений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используемые при решении задач оптимизации проектирования подсистем обеспечения информационной безопасности с использованием технологий многокритериальной оптимизации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При этом необходимо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чтобы различные способы реализации архитектуры защиты информации оценивались в соответствии с некоторыми заранее выделенными критериями оценки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позволяющими описывать системы защиты с позиции обеспечения необходимых параметров надежности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эффективности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экономичности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Критерии оценивания могут включать параметры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позволяющие формировать дерево принятия решений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процессе проектирования архитектуры защиты информации необходимо решать не только задачи оптимального проектирования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но также использовать механизмы системного подхода к проектированию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Необходимость выполнения требований законодательства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внутриорганизационных регламентов и требований клиентов предполагает решение задач по информационно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аналитической поддержке процесса разработки экспертной системы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Экспертная система должна включать данные справочной подсистемы для консультирования и интерпретации получаемой информации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аналитические расчетные системы для проведения диагностики и анализа текущего состояния защищенности в сравнении его с требуемым классом защищенности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Экспертная система должна не только получать информацию на входе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но и предлагать решения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поясняя их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иметь подсистему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позволяющую проводить разработку решений и составление логических выводов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Задачи экспертных систем также предполагают формализацию методики оценивания рисков безопасности и поддержки возможности по созданию дополнительных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пользовательских</w:t>
      </w:r>
      <w:r>
        <w:rPr>
          <w:rtl w:val="0"/>
          <w:lang w:val="ru-RU"/>
        </w:rPr>
        <w:t xml:space="preserve">) </w:t>
      </w:r>
      <w:r>
        <w:rPr>
          <w:rtl w:val="0"/>
          <w:lang w:val="ru-RU"/>
        </w:rPr>
        <w:t>методологий с наличием режимов  редактирования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экспертной системе возможно проведение формализации на основе базы знаний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фактологии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при этом для поддержки разработки собственных методик по оценки рисков ИБ необходимо создание шаблона правил и фреймов знаний для каждой из стадий проектирования</w:t>
      </w:r>
      <w:r>
        <w:rPr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Перечень видов первичной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 которой работают специалисты службы одного окна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представлен в таблице </w:t>
      </w:r>
      <w:r>
        <w:rPr>
          <w:rFonts w:ascii="Times New Roman" w:hAnsi="Times New Roman"/>
          <w:sz w:val="28"/>
          <w:szCs w:val="28"/>
          <w:rtl w:val="0"/>
          <w:lang w:val="ru-RU"/>
        </w:rPr>
        <w:t>1.2.</w:t>
      </w:r>
    </w:p>
    <w:p>
      <w:pPr>
        <w:pStyle w:val="Normal.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Таблица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1.2. 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Перечень видов первичной информации службы одного окна</w:t>
      </w:r>
    </w:p>
    <w:tbl>
      <w:tblPr>
        <w:tblW w:w="9287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777"/>
        <w:gridCol w:w="2008"/>
        <w:gridCol w:w="2840"/>
        <w:gridCol w:w="2662"/>
      </w:tblGrid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17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Вид информации</w:t>
            </w:r>
          </w:p>
        </w:tc>
        <w:tc>
          <w:tcPr>
            <w:tcW w:type="dxa" w:w="20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Отдел</w:t>
            </w:r>
          </w:p>
        </w:tc>
        <w:tc>
          <w:tcPr>
            <w:tcW w:type="dxa" w:w="28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Носитель</w:t>
            </w:r>
          </w:p>
        </w:tc>
        <w:tc>
          <w:tcPr>
            <w:tcW w:type="dxa" w:w="26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Способ обработки информации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17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База знаний экспертной системы</w:t>
            </w:r>
          </w:p>
        </w:tc>
        <w:tc>
          <w:tcPr>
            <w:tcW w:type="dxa" w:w="20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Отдел информационной безопасности</w:t>
            </w:r>
          </w:p>
        </w:tc>
        <w:tc>
          <w:tcPr>
            <w:tcW w:type="dxa" w:w="28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База данных формата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SQL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Server</w:t>
            </w:r>
          </w:p>
        </w:tc>
        <w:tc>
          <w:tcPr>
            <w:tcW w:type="dxa" w:w="26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Автоматизированный</w:t>
            </w:r>
          </w:p>
        </w:tc>
      </w:tr>
      <w:tr>
        <w:tblPrEx>
          <w:shd w:val="clear" w:color="auto" w:fill="ced7e7"/>
        </w:tblPrEx>
        <w:trPr>
          <w:trHeight w:val="1500" w:hRule="atLeast"/>
        </w:trPr>
        <w:tc>
          <w:tcPr>
            <w:tcW w:type="dxa" w:w="17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Данные об архитектуре защиты компании</w:t>
            </w:r>
          </w:p>
        </w:tc>
        <w:tc>
          <w:tcPr>
            <w:tcW w:type="dxa" w:w="20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Отдел информационной безопасности</w:t>
            </w:r>
          </w:p>
        </w:tc>
        <w:tc>
          <w:tcPr>
            <w:tcW w:type="dxa" w:w="28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Положение о защите информации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положение об антивирусной защите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таблицы разграничения доступа</w:t>
            </w:r>
          </w:p>
        </w:tc>
        <w:tc>
          <w:tcPr>
            <w:tcW w:type="dxa" w:w="26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Неавтоматизированный</w:t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17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Сертификаты электронной подписи фирм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клиентов</w:t>
            </w:r>
          </w:p>
        </w:tc>
        <w:tc>
          <w:tcPr>
            <w:tcW w:type="dxa" w:w="20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Отдел информационной безопасности</w:t>
            </w:r>
          </w:p>
        </w:tc>
        <w:tc>
          <w:tcPr>
            <w:tcW w:type="dxa" w:w="28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Копии сертификатов электронной подписи</w:t>
            </w:r>
          </w:p>
        </w:tc>
        <w:tc>
          <w:tcPr>
            <w:tcW w:type="dxa" w:w="26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Неавтоматизированный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17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Виртуальные машины фирм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клиентов</w:t>
            </w:r>
          </w:p>
        </w:tc>
        <w:tc>
          <w:tcPr>
            <w:tcW w:type="dxa" w:w="20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Отдел разработки и сопровождения</w:t>
            </w:r>
          </w:p>
        </w:tc>
        <w:tc>
          <w:tcPr>
            <w:tcW w:type="dxa" w:w="28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Файлы в формате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vdi</w:t>
            </w:r>
          </w:p>
        </w:tc>
        <w:tc>
          <w:tcPr>
            <w:tcW w:type="dxa" w:w="26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Автоматизированный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17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Данные о разработке ПО</w:t>
            </w:r>
          </w:p>
        </w:tc>
        <w:tc>
          <w:tcPr>
            <w:tcW w:type="dxa" w:w="20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Отдел разработки и сопровождения</w:t>
            </w:r>
          </w:p>
        </w:tc>
        <w:tc>
          <w:tcPr>
            <w:tcW w:type="dxa" w:w="28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Исходные коды разработанного ПО</w:t>
            </w:r>
          </w:p>
        </w:tc>
        <w:tc>
          <w:tcPr>
            <w:tcW w:type="dxa" w:w="26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Автоматизированный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17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Договоры с клиентами</w:t>
            </w:r>
          </w:p>
        </w:tc>
        <w:tc>
          <w:tcPr>
            <w:tcW w:type="dxa" w:w="20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Отдел по работе с клиентами</w:t>
            </w:r>
          </w:p>
        </w:tc>
        <w:tc>
          <w:tcPr>
            <w:tcW w:type="dxa" w:w="28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Документы на бумажном носителе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база данных договоров</w:t>
            </w:r>
          </w:p>
        </w:tc>
        <w:tc>
          <w:tcPr>
            <w:tcW w:type="dxa" w:w="26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Неавтоматизированный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17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Бухгалтерский баланс</w:t>
            </w:r>
          </w:p>
        </w:tc>
        <w:tc>
          <w:tcPr>
            <w:tcW w:type="dxa" w:w="20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Экономический отдел</w:t>
            </w:r>
          </w:p>
        </w:tc>
        <w:tc>
          <w:tcPr>
            <w:tcW w:type="dxa" w:w="28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Документ на бумажном носителе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БД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1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Предприятие</w:t>
            </w:r>
          </w:p>
        </w:tc>
        <w:tc>
          <w:tcPr>
            <w:tcW w:type="dxa" w:w="26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Неавтоматизированный</w:t>
            </w:r>
          </w:p>
        </w:tc>
      </w:tr>
    </w:tbl>
    <w:p>
      <w:pPr>
        <w:pStyle w:val="Normal.0"/>
        <w:widowControl w:val="0"/>
        <w:spacing w:line="240" w:lineRule="auto"/>
        <w:ind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200" w:line="276" w:lineRule="auto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List Paragraph"/>
        <w:ind w:left="0" w:firstLine="709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Обоснование выбора активов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List Paragraph"/>
        <w:numPr>
          <w:ilvl w:val="0"/>
          <w:numId w:val="4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Конфиденциальная информация содержит данные сертификатов электронной подписи фирм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клиентов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4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База знаний экспертной системы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включает полную информацию об архитектуре защиты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</w:t>
      </w:r>
    </w:p>
    <w:p>
      <w:pPr>
        <w:pStyle w:val="List Paragraph"/>
        <w:numPr>
          <w:ilvl w:val="0"/>
          <w:numId w:val="4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Виртуальные машины облачных сервисов фирм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клиентов</w:t>
      </w:r>
    </w:p>
    <w:p>
      <w:pPr>
        <w:pStyle w:val="List Paragraph"/>
        <w:numPr>
          <w:ilvl w:val="0"/>
          <w:numId w:val="4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Базы данных информационных систем фирм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клиентов</w:t>
      </w:r>
    </w:p>
    <w:p>
      <w:pPr>
        <w:pStyle w:val="List Paragraph"/>
        <w:numPr>
          <w:ilvl w:val="0"/>
          <w:numId w:val="4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Хранилище файлов на общем сетевом диске – общий сетевой диск служит для быстрого обмена большими объемами информации между сотрудниками службы одного окна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Данная информация является объектом защиты как содержащая конфиденциальную информацию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 также как объект результат работы специалистов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Потеря информации с сетевых ресурсов приведет к возможным простоям в деятельности организации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необходимости восстановления утерянных документов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дополнительным трудозатратам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4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Антивирусная защита рабочих станций специалистов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защита от перебоев электропитания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4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Защита от НСД – программно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аппаратное обеспечение для  защиты от несанкционированного доступа в помещения организации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является важнейшим направлением защиты и оповещения о вероятном вмешательстве злоумышленника в систему конфиденциальной информации компании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Вывод из строя системы охранного оборудования может повлечь за значительные финансовые потери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связанные с ремонтом и восстановлением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 также  с утратой конфиденциальной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after="200" w:line="276" w:lineRule="auto"/>
        <w:ind w:firstLine="0"/>
        <w:jc w:val="both"/>
        <w:sectPr>
          <w:headerReference w:type="default" r:id="rId5"/>
          <w:headerReference w:type="first" r:id="rId6"/>
          <w:footerReference w:type="default" r:id="rId7"/>
          <w:footerReference w:type="first" r:id="rId8"/>
          <w:pgSz w:w="11900" w:h="16840" w:orient="portrait"/>
          <w:pgMar w:top="1134" w:right="1134" w:bottom="1134" w:left="1701" w:header="708" w:footer="708"/>
          <w:pgNumType w:start="2"/>
          <w:titlePg w:val="1"/>
          <w:bidi w:val="0"/>
        </w:sectPr>
      </w:pPr>
    </w:p>
    <w:p>
      <w:pPr>
        <w:pStyle w:val="Normal.0"/>
        <w:spacing w:after="200" w:line="276" w:lineRule="auto"/>
        <w:ind w:firstLine="0"/>
        <w:jc w:val="right"/>
        <w:rPr>
          <w:rFonts w:ascii="Times New Roman" w:cs="Times New Roman" w:hAnsi="Times New Roman" w:eastAsia="Times New Roman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Таблица </w:t>
      </w:r>
      <w:r>
        <w:rPr>
          <w:rFonts w:ascii="Times New Roman" w:hAnsi="Times New Roman"/>
          <w:sz w:val="28"/>
          <w:szCs w:val="28"/>
          <w:rtl w:val="0"/>
          <w:lang w:val="ru-RU"/>
        </w:rPr>
        <w:t>1.3.</w:t>
      </w:r>
      <w:r>
        <w:rPr>
          <w:rFonts w:ascii="Times New Roman" w:hAnsi="Times New Roman"/>
          <w:outline w:val="0"/>
          <w:color w:val="ff0000"/>
          <w:sz w:val="28"/>
          <w:szCs w:val="28"/>
          <w:u w:color="ff0000"/>
          <w:rtl w:val="0"/>
          <w:lang w:val="ru-RU"/>
          <w14:textFill>
            <w14:solidFill>
              <w14:srgbClr w14:val="FF0000"/>
            </w14:solidFill>
          </w14:textFill>
        </w:rPr>
        <w:t xml:space="preserve"> </w:t>
      </w:r>
    </w:p>
    <w:p>
      <w:pPr>
        <w:pStyle w:val="caption.0"/>
        <w:keepNext w:val="1"/>
        <w:jc w:val="center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Оценка информационных активов службы одного окна</w:t>
      </w:r>
    </w:p>
    <w:tbl>
      <w:tblPr>
        <w:tblW w:w="15090" w:type="dxa"/>
        <w:jc w:val="righ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347"/>
        <w:gridCol w:w="2216"/>
        <w:gridCol w:w="2341"/>
        <w:gridCol w:w="1977"/>
        <w:gridCol w:w="2393"/>
        <w:gridCol w:w="2012"/>
        <w:gridCol w:w="1804"/>
      </w:tblGrid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347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Оценка информационных активов службы одного окна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Вид деятельности</w:t>
            </w:r>
          </w:p>
        </w:tc>
        <w:tc>
          <w:tcPr>
            <w:tcW w:type="dxa" w:w="221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Наименование актива</w:t>
            </w:r>
          </w:p>
        </w:tc>
        <w:tc>
          <w:tcPr>
            <w:tcW w:type="dxa" w:w="234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Форма представления</w:t>
            </w:r>
          </w:p>
        </w:tc>
        <w:tc>
          <w:tcPr>
            <w:tcW w:type="dxa" w:w="1977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Владелец актива</w:t>
            </w:r>
          </w:p>
        </w:tc>
        <w:tc>
          <w:tcPr>
            <w:tcW w:type="dxa" w:w="2393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Критерии определения стоимости</w:t>
            </w:r>
          </w:p>
        </w:tc>
        <w:tc>
          <w:tcPr>
            <w:tcW w:type="dxa" w:w="381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Размерность оценки</w:t>
            </w:r>
          </w:p>
        </w:tc>
      </w:tr>
      <w:tr>
        <w:tblPrEx>
          <w:shd w:val="clear" w:color="auto" w:fill="ced7e7"/>
        </w:tblPrEx>
        <w:trPr>
          <w:trHeight w:val="2380" w:hRule="atLeast"/>
        </w:trPr>
        <w:tc>
          <w:tcPr>
            <w:tcW w:type="dxa" w:w="2347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21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4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977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93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Количественная оценка 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(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ед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изм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.)</w:t>
            </w:r>
          </w:p>
        </w:tc>
        <w:tc>
          <w:tcPr>
            <w:tcW w:type="dxa" w:w="18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Качественная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15090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Информационные активы</w:t>
            </w:r>
          </w:p>
        </w:tc>
      </w:tr>
      <w:tr>
        <w:tblPrEx>
          <w:shd w:val="clear" w:color="auto" w:fill="ced7e7"/>
        </w:tblPrEx>
        <w:trPr>
          <w:trHeight w:val="2100" w:hRule="atLeast"/>
        </w:trPr>
        <w:tc>
          <w:tcPr>
            <w:tcW w:type="dxa" w:w="23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Основная деятельность</w:t>
            </w:r>
          </w:p>
        </w:tc>
        <w:tc>
          <w:tcPr>
            <w:tcW w:type="dxa" w:w="22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Сертификаты электронной подписи</w:t>
            </w:r>
          </w:p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Файлы сертификатов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копии сертификатов на бумажных носителях</w:t>
            </w:r>
          </w:p>
        </w:tc>
        <w:tc>
          <w:tcPr>
            <w:tcW w:type="dxa" w:w="19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ИТ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отдел</w:t>
            </w:r>
          </w:p>
        </w:tc>
        <w:tc>
          <w:tcPr>
            <w:tcW w:type="dxa" w:w="23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Доверие клиентов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репутация</w:t>
            </w:r>
          </w:p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Высокая</w:t>
            </w:r>
          </w:p>
        </w:tc>
      </w:tr>
      <w:tr>
        <w:tblPrEx>
          <w:shd w:val="clear" w:color="auto" w:fill="ced7e7"/>
        </w:tblPrEx>
        <w:trPr>
          <w:trHeight w:val="1500" w:hRule="atLeast"/>
        </w:trPr>
        <w:tc>
          <w:tcPr>
            <w:tcW w:type="dxa" w:w="23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База знаний экспертной системы</w:t>
            </w:r>
          </w:p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Файл базы данных формата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SQL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Server</w:t>
            </w:r>
          </w:p>
        </w:tc>
        <w:tc>
          <w:tcPr>
            <w:tcW w:type="dxa" w:w="19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ИТ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отдел</w:t>
            </w:r>
          </w:p>
        </w:tc>
        <w:tc>
          <w:tcPr>
            <w:tcW w:type="dxa" w:w="23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Возможность ведения основной деятельности</w:t>
            </w:r>
          </w:p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Высокая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23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Виртуальные машины</w:t>
            </w:r>
          </w:p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Файлы формата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vdi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 </w:t>
            </w:r>
          </w:p>
        </w:tc>
        <w:tc>
          <w:tcPr>
            <w:tcW w:type="dxa" w:w="19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Отдел бух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.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учета</w:t>
            </w:r>
          </w:p>
        </w:tc>
        <w:tc>
          <w:tcPr>
            <w:tcW w:type="dxa" w:w="23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Доверие клиентов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репутация</w:t>
            </w:r>
          </w:p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Высокая</w:t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23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Базы данных фирм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-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клиентов</w:t>
            </w:r>
          </w:p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Файлы баз данных на виртуальных серверах</w:t>
            </w:r>
          </w:p>
        </w:tc>
        <w:tc>
          <w:tcPr>
            <w:tcW w:type="dxa" w:w="19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Отдел бух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.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учета</w:t>
            </w:r>
          </w:p>
        </w:tc>
        <w:tc>
          <w:tcPr>
            <w:tcW w:type="dxa" w:w="23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Доверие клиентов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репутация</w:t>
            </w:r>
          </w:p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Высокая</w:t>
            </w:r>
          </w:p>
        </w:tc>
      </w:tr>
      <w:tr>
        <w:tblPrEx>
          <w:shd w:val="clear" w:color="auto" w:fill="ced7e7"/>
        </w:tblPrEx>
        <w:trPr>
          <w:trHeight w:val="1800" w:hRule="atLeast"/>
        </w:trPr>
        <w:tc>
          <w:tcPr>
            <w:tcW w:type="dxa" w:w="23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Защита информации</w:t>
            </w:r>
          </w:p>
        </w:tc>
        <w:tc>
          <w:tcPr>
            <w:tcW w:type="dxa" w:w="22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Персональные данные сотрудников</w:t>
            </w:r>
          </w:p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Документ на бумажном и электронном носителе</w:t>
            </w:r>
          </w:p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lang w:val="ru-RU"/>
              </w:rPr>
            </w:r>
          </w:p>
        </w:tc>
        <w:tc>
          <w:tcPr>
            <w:tcW w:type="dxa" w:w="19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Специалист по работе с персоналом</w:t>
            </w:r>
          </w:p>
        </w:tc>
        <w:tc>
          <w:tcPr>
            <w:tcW w:type="dxa" w:w="23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Выполнение требований законодательства</w:t>
            </w:r>
          </w:p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Высокая</w:t>
            </w:r>
          </w:p>
        </w:tc>
      </w:tr>
    </w:tbl>
    <w:p>
      <w:pPr>
        <w:pStyle w:val="Normal.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Продолжение таблицы </w:t>
      </w:r>
      <w:r>
        <w:rPr>
          <w:rFonts w:ascii="Times New Roman" w:hAnsi="Times New Roman"/>
          <w:sz w:val="28"/>
          <w:szCs w:val="28"/>
          <w:rtl w:val="0"/>
          <w:lang w:val="ru-RU"/>
        </w:rPr>
        <w:t>1.3</w:t>
      </w:r>
    </w:p>
    <w:tbl>
      <w:tblPr>
        <w:tblW w:w="1509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347"/>
        <w:gridCol w:w="2216"/>
        <w:gridCol w:w="2341"/>
        <w:gridCol w:w="1977"/>
        <w:gridCol w:w="2393"/>
        <w:gridCol w:w="2012"/>
        <w:gridCol w:w="1804"/>
      </w:tblGrid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347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Вид деятельности</w:t>
            </w:r>
          </w:p>
        </w:tc>
        <w:tc>
          <w:tcPr>
            <w:tcW w:type="dxa" w:w="221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Наименование актива</w:t>
            </w:r>
          </w:p>
        </w:tc>
        <w:tc>
          <w:tcPr>
            <w:tcW w:type="dxa" w:w="234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Форма представления</w:t>
            </w:r>
          </w:p>
        </w:tc>
        <w:tc>
          <w:tcPr>
            <w:tcW w:type="dxa" w:w="1977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Владелец актива</w:t>
            </w:r>
          </w:p>
        </w:tc>
        <w:tc>
          <w:tcPr>
            <w:tcW w:type="dxa" w:w="2393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Критерии определения стоимости</w:t>
            </w:r>
          </w:p>
        </w:tc>
        <w:tc>
          <w:tcPr>
            <w:tcW w:type="dxa" w:w="381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Размерность оценки</w:t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2347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21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4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977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93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Количественная оценка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(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ед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изм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.)</w:t>
            </w:r>
          </w:p>
        </w:tc>
        <w:tc>
          <w:tcPr>
            <w:tcW w:type="dxa" w:w="18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Качественная</w:t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23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Ключи ЭП</w:t>
            </w:r>
          </w:p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Электронное хранилище ЭЦП</w:t>
            </w:r>
          </w:p>
        </w:tc>
        <w:tc>
          <w:tcPr>
            <w:tcW w:type="dxa" w:w="19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Отдел бухгалтерского учета</w:t>
            </w:r>
          </w:p>
        </w:tc>
        <w:tc>
          <w:tcPr>
            <w:tcW w:type="dxa" w:w="23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Выполнение требований законодательства</w:t>
            </w:r>
          </w:p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Высокая</w:t>
            </w:r>
          </w:p>
        </w:tc>
      </w:tr>
      <w:tr>
        <w:tblPrEx>
          <w:shd w:val="clear" w:color="auto" w:fill="ced7e7"/>
        </w:tblPrEx>
        <w:trPr>
          <w:trHeight w:val="1500" w:hRule="atLeast"/>
        </w:trPr>
        <w:tc>
          <w:tcPr>
            <w:tcW w:type="dxa" w:w="23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Обеспечение безопасности</w:t>
            </w:r>
          </w:p>
        </w:tc>
        <w:tc>
          <w:tcPr>
            <w:tcW w:type="dxa" w:w="22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Политика безопасности</w:t>
            </w:r>
          </w:p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Нормативные акты предприятия в области ЗИ</w:t>
            </w:r>
          </w:p>
        </w:tc>
        <w:tc>
          <w:tcPr>
            <w:tcW w:type="dxa" w:w="19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Выполнение требований законодательства</w:t>
            </w:r>
          </w:p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Высокая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15090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Активы программного обеспечения</w:t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23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Основная деятельность</w:t>
            </w:r>
          </w:p>
        </w:tc>
        <w:tc>
          <w:tcPr>
            <w:tcW w:type="dxa" w:w="22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1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Комплекская</w:t>
            </w:r>
          </w:p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Бухгалтерские документы в БД ПК</w:t>
            </w:r>
          </w:p>
        </w:tc>
        <w:tc>
          <w:tcPr>
            <w:tcW w:type="dxa" w:w="19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Отдел бухгалтерского учета</w:t>
            </w:r>
          </w:p>
        </w:tc>
        <w:tc>
          <w:tcPr>
            <w:tcW w:type="dxa" w:w="23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Выполнение регламентов работы с ПК</w:t>
            </w:r>
          </w:p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Средняя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23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БД «Учет ЛВС»</w:t>
            </w:r>
          </w:p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Параметры ЛВС клиентов</w:t>
            </w:r>
          </w:p>
        </w:tc>
        <w:tc>
          <w:tcPr>
            <w:tcW w:type="dxa" w:w="19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ИТ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-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отдел</w:t>
            </w:r>
          </w:p>
        </w:tc>
        <w:tc>
          <w:tcPr>
            <w:tcW w:type="dxa" w:w="23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Выполнение регламентов работы с ПК</w:t>
            </w:r>
          </w:p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Средняя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15090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Физические активы</w:t>
            </w:r>
          </w:p>
        </w:tc>
      </w:tr>
      <w:tr>
        <w:tblPrEx>
          <w:shd w:val="clear" w:color="auto" w:fill="ced7e7"/>
        </w:tblPrEx>
        <w:trPr>
          <w:trHeight w:val="1500" w:hRule="atLeast"/>
        </w:trPr>
        <w:tc>
          <w:tcPr>
            <w:tcW w:type="dxa" w:w="23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Сервер БД</w:t>
            </w:r>
          </w:p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Базы данных программных комплексов</w:t>
            </w:r>
          </w:p>
        </w:tc>
        <w:tc>
          <w:tcPr>
            <w:tcW w:type="dxa" w:w="19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службы одного окна</w:t>
            </w:r>
          </w:p>
        </w:tc>
        <w:tc>
          <w:tcPr>
            <w:tcW w:type="dxa" w:w="23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Требования к сохранности информации в БД</w:t>
            </w:r>
          </w:p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Средняя</w:t>
            </w:r>
          </w:p>
        </w:tc>
      </w:tr>
      <w:tr>
        <w:tblPrEx>
          <w:shd w:val="clear" w:color="auto" w:fill="ced7e7"/>
        </w:tblPrEx>
        <w:trPr>
          <w:trHeight w:val="1805" w:hRule="atLeast"/>
        </w:trPr>
        <w:tc>
          <w:tcPr>
            <w:tcW w:type="dxa" w:w="2347"/>
            <w:tcBorders>
              <w:top w:val="single" w:color="000000" w:sz="4" w:space="0" w:shadow="0" w:frame="0"/>
              <w:left w:val="single" w:color="000000" w:sz="4" w:space="0" w:shadow="0" w:frame="0"/>
              <w:bottom w:val="nil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6"/>
            <w:tcBorders>
              <w:top w:val="single" w:color="000000" w:sz="4" w:space="0" w:shadow="0" w:frame="0"/>
              <w:left w:val="single" w:color="000000" w:sz="4" w:space="0" w:shadow="0" w:frame="0"/>
              <w:bottom w:val="nil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Активное сетевое оборудование</w:t>
            </w:r>
          </w:p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nil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Доступ к сетевым ресурсам службы одного окна</w:t>
            </w:r>
          </w:p>
        </w:tc>
        <w:tc>
          <w:tcPr>
            <w:tcW w:type="dxa" w:w="1977"/>
            <w:tcBorders>
              <w:top w:val="single" w:color="000000" w:sz="4" w:space="0" w:shadow="0" w:frame="0"/>
              <w:left w:val="single" w:color="000000" w:sz="4" w:space="0" w:shadow="0" w:frame="0"/>
              <w:bottom w:val="nil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службы одного окна</w:t>
            </w:r>
          </w:p>
        </w:tc>
        <w:tc>
          <w:tcPr>
            <w:tcW w:type="dxa" w:w="2393"/>
            <w:tcBorders>
              <w:top w:val="single" w:color="000000" w:sz="4" w:space="0" w:shadow="0" w:frame="0"/>
              <w:left w:val="single" w:color="000000" w:sz="4" w:space="0" w:shadow="0" w:frame="0"/>
              <w:bottom w:val="nil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Выполнение регламентов работы с оборудованием</w:t>
            </w:r>
            <w:r>
              <w:rPr>
                <w:sz w:val="24"/>
                <w:szCs w:val="24"/>
                <w:shd w:val="nil" w:color="auto" w:fill="auto"/>
              </w:rPr>
            </w:r>
          </w:p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nil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4"/>
            <w:tcBorders>
              <w:top w:val="single" w:color="000000" w:sz="4" w:space="0" w:shadow="0" w:frame="0"/>
              <w:left w:val="single" w:color="000000" w:sz="4" w:space="0" w:shadow="0" w:frame="0"/>
              <w:bottom w:val="nil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Средняя</w:t>
            </w:r>
          </w:p>
        </w:tc>
      </w:tr>
      <w:tr>
        <w:tblPrEx>
          <w:shd w:val="clear" w:color="auto" w:fill="ced7e7"/>
        </w:tblPrEx>
        <w:trPr>
          <w:trHeight w:val="3149" w:hRule="atLeast"/>
        </w:trPr>
        <w:tc>
          <w:tcPr>
            <w:tcW w:type="dxa" w:w="15090"/>
            <w:gridSpan w:val="7"/>
            <w:tcBorders>
              <w:top w:val="nil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right"/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jc w:val="right"/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jc w:val="right"/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jc w:val="right"/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jc w:val="right"/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bidi w:val="0"/>
              <w:ind w:left="0" w:right="0" w:firstLine="709"/>
              <w:jc w:val="right"/>
              <w:rPr>
                <w:rtl w:val="0"/>
              </w:rPr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Продолжение таблицы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1.3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347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Оценка информационных активов службы одного окна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Вид деятельности</w:t>
            </w:r>
          </w:p>
        </w:tc>
        <w:tc>
          <w:tcPr>
            <w:tcW w:type="dxa" w:w="221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Наименование актива</w:t>
            </w:r>
          </w:p>
        </w:tc>
        <w:tc>
          <w:tcPr>
            <w:tcW w:type="dxa" w:w="234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Форма представления</w:t>
            </w:r>
          </w:p>
        </w:tc>
        <w:tc>
          <w:tcPr>
            <w:tcW w:type="dxa" w:w="1977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Владелец актива</w:t>
            </w:r>
          </w:p>
        </w:tc>
        <w:tc>
          <w:tcPr>
            <w:tcW w:type="dxa" w:w="2393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Критерии определения стоимости</w:t>
            </w:r>
          </w:p>
        </w:tc>
        <w:tc>
          <w:tcPr>
            <w:tcW w:type="dxa" w:w="381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Размерность оценки</w:t>
            </w:r>
          </w:p>
        </w:tc>
      </w:tr>
      <w:tr>
        <w:tblPrEx>
          <w:shd w:val="clear" w:color="auto" w:fill="ced7e7"/>
        </w:tblPrEx>
        <w:trPr>
          <w:trHeight w:val="2380" w:hRule="atLeast"/>
        </w:trPr>
        <w:tc>
          <w:tcPr>
            <w:tcW w:type="dxa" w:w="2347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21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4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977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93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Количественная оценка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(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ед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изм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.)</w:t>
            </w:r>
          </w:p>
        </w:tc>
        <w:tc>
          <w:tcPr>
            <w:tcW w:type="dxa" w:w="18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Качественная</w:t>
            </w:r>
          </w:p>
        </w:tc>
      </w:tr>
      <w:tr>
        <w:tblPrEx>
          <w:shd w:val="clear" w:color="auto" w:fill="ced7e7"/>
        </w:tblPrEx>
        <w:trPr>
          <w:trHeight w:val="1800" w:hRule="atLeast"/>
        </w:trPr>
        <w:tc>
          <w:tcPr>
            <w:tcW w:type="dxa" w:w="23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Рабочие станции пользователей</w:t>
            </w:r>
          </w:p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Работа специалистов в автоматизированной системе</w:t>
            </w:r>
          </w:p>
        </w:tc>
        <w:tc>
          <w:tcPr>
            <w:tcW w:type="dxa" w:w="19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службы одного окна</w:t>
            </w:r>
          </w:p>
        </w:tc>
        <w:tc>
          <w:tcPr>
            <w:tcW w:type="dxa" w:w="23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Выполнение регламентов работы с оборудованием</w:t>
            </w:r>
          </w:p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Низкая</w:t>
            </w:r>
          </w:p>
        </w:tc>
      </w:tr>
      <w:tr>
        <w:tblPrEx>
          <w:shd w:val="clear" w:color="auto" w:fill="ced7e7"/>
        </w:tblPrEx>
        <w:trPr>
          <w:trHeight w:val="1500" w:hRule="atLeast"/>
        </w:trPr>
        <w:tc>
          <w:tcPr>
            <w:tcW w:type="dxa" w:w="23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Файловый сервер</w:t>
            </w:r>
          </w:p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Хранилище документов</w:t>
            </w:r>
          </w:p>
        </w:tc>
        <w:tc>
          <w:tcPr>
            <w:tcW w:type="dxa" w:w="19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службы одного окна</w:t>
            </w:r>
          </w:p>
        </w:tc>
        <w:tc>
          <w:tcPr>
            <w:tcW w:type="dxa" w:w="23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Выполнение регламентов работы с оборудованием</w:t>
            </w:r>
          </w:p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Низкая</w:t>
            </w:r>
          </w:p>
        </w:tc>
      </w:tr>
    </w:tbl>
    <w:p>
      <w:pPr>
        <w:pStyle w:val="List Paragraph"/>
        <w:spacing w:line="240" w:lineRule="auto"/>
        <w:ind w:left="0" w:firstLine="709"/>
        <w:jc w:val="both"/>
        <w:rPr>
          <w:rFonts w:ascii="Times New Roman" w:cs="Times New Roman" w:hAnsi="Times New Roman" w:eastAsia="Times New Roman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ind w:firstLine="0"/>
        <w:jc w:val="both"/>
        <w:sectPr>
          <w:headerReference w:type="default" r:id="rId9"/>
          <w:headerReference w:type="first" r:id="rId10"/>
          <w:footerReference w:type="default" r:id="rId11"/>
          <w:footerReference w:type="first" r:id="rId12"/>
          <w:pgSz w:w="11900" w:h="16840" w:orient="portrait"/>
          <w:pgMar w:top="1701" w:right="1134" w:bottom="1134" w:left="1134" w:header="708" w:footer="708"/>
          <w:titlePg w:val="1"/>
          <w:bidi w:val="0"/>
        </w:sectPr>
      </w:pP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Сведения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имеющие конфиденциальный характер в условиях службы одного окна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List Paragraph"/>
        <w:numPr>
          <w:ilvl w:val="0"/>
          <w:numId w:val="6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Бухгалтерская документация – сведения о начислениях заработной платы сотрудникам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налоговая и финансовая отчетность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доходы и расходы компании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6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Кадровая информация – сведения о сотрудниках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работающих в компаниях – клиентах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где производится расчет заработной платы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6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Информация об архитектуре информационных систем фирм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клиентов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6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Информация об архитектуре и реализации системы антивирусной защиты и от НСД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6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Требования по обеспечению сохранения служебной тайны сотрудниками службы одного окна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Body Text Indent 2"/>
        <w:spacing w:after="0" w:line="240" w:lineRule="auto"/>
        <w:ind w:left="0" w:firstLine="0"/>
        <w:jc w:val="right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Таблица </w:t>
      </w:r>
      <w:r>
        <w:rPr>
          <w:sz w:val="28"/>
          <w:szCs w:val="28"/>
          <w:rtl w:val="0"/>
          <w:lang w:val="ru-RU"/>
        </w:rPr>
        <w:t>1.4</w:t>
      </w:r>
    </w:p>
    <w:p>
      <w:pPr>
        <w:pStyle w:val="А"/>
      </w:pPr>
      <w:r>
        <w:rPr>
          <w:rtl w:val="0"/>
          <w:lang w:val="ru-RU"/>
        </w:rPr>
        <w:t>Перечень сведений конфиденциального характера службы одного окна</w:t>
      </w:r>
    </w:p>
    <w:tbl>
      <w:tblPr>
        <w:tblW w:w="990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617"/>
        <w:gridCol w:w="3809"/>
        <w:gridCol w:w="2954"/>
        <w:gridCol w:w="2520"/>
      </w:tblGrid>
      <w:tr>
        <w:tblPrEx>
          <w:shd w:val="clear" w:color="auto" w:fill="4f81bd"/>
        </w:tblPrEx>
        <w:trPr>
          <w:trHeight w:val="1200" w:hRule="atLeast"/>
          <w:tblHeader/>
        </w:trPr>
        <w:tc>
          <w:tcPr>
            <w:tcW w:type="dxa" w:w="6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ind w:firstLine="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№ п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п</w:t>
            </w:r>
          </w:p>
        </w:tc>
        <w:tc>
          <w:tcPr>
            <w:tcW w:type="dxa" w:w="38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ind w:firstLine="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Наименование сведений</w:t>
            </w:r>
          </w:p>
        </w:tc>
        <w:tc>
          <w:tcPr>
            <w:tcW w:type="dxa" w:w="29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Гриф конфиденциальности</w:t>
            </w:r>
          </w:p>
        </w:tc>
        <w:tc>
          <w:tcPr>
            <w:tcW w:type="dxa" w:w="2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ind w:firstLine="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Нормативный документ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реквизиты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№№ статей</w:t>
            </w:r>
          </w:p>
        </w:tc>
      </w:tr>
      <w:tr>
        <w:tblPrEx>
          <w:shd w:val="clear" w:color="auto" w:fill="ced7e7"/>
        </w:tblPrEx>
        <w:trPr>
          <w:trHeight w:val="1800" w:hRule="atLeast"/>
        </w:trPr>
        <w:tc>
          <w:tcPr>
            <w:tcW w:type="dxa" w:w="6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1.</w:t>
            </w:r>
          </w:p>
        </w:tc>
        <w:tc>
          <w:tcPr>
            <w:tcW w:type="dxa" w:w="38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Сведения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раскрывающие характеристики средств защиты информации ЛВС предприятия от несанкционированного доступа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.</w:t>
            </w:r>
          </w:p>
        </w:tc>
        <w:tc>
          <w:tcPr>
            <w:tcW w:type="dxa" w:w="29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Конфиденциально</w:t>
            </w:r>
          </w:p>
        </w:tc>
        <w:tc>
          <w:tcPr>
            <w:tcW w:type="dxa" w:w="2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Внутренний стандарт предприятия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6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2.</w:t>
            </w:r>
          </w:p>
        </w:tc>
        <w:tc>
          <w:tcPr>
            <w:tcW w:type="dxa" w:w="38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Требования по обеспечению сохранения служебной тайны сотрудниками предприятия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.</w:t>
            </w:r>
          </w:p>
        </w:tc>
        <w:tc>
          <w:tcPr>
            <w:tcW w:type="dxa" w:w="29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Конфиденциально</w:t>
            </w:r>
          </w:p>
        </w:tc>
        <w:tc>
          <w:tcPr>
            <w:tcW w:type="dxa" w:w="2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Гражданский кодекс РФ ст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.139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6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3.</w:t>
            </w:r>
          </w:p>
        </w:tc>
        <w:tc>
          <w:tcPr>
            <w:tcW w:type="dxa" w:w="38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Персональные данные сотрудников</w:t>
            </w:r>
          </w:p>
        </w:tc>
        <w:tc>
          <w:tcPr>
            <w:tcW w:type="dxa" w:w="29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ДСП</w:t>
            </w:r>
          </w:p>
        </w:tc>
        <w:tc>
          <w:tcPr>
            <w:tcW w:type="dxa" w:w="2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Федеральный закон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152-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ФЗ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6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4.</w:t>
            </w:r>
          </w:p>
        </w:tc>
        <w:tc>
          <w:tcPr>
            <w:tcW w:type="dxa" w:w="38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Закрытые ключи ЭП</w:t>
            </w:r>
          </w:p>
        </w:tc>
        <w:tc>
          <w:tcPr>
            <w:tcW w:type="dxa" w:w="29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Конфиденциально</w:t>
            </w:r>
          </w:p>
        </w:tc>
        <w:tc>
          <w:tcPr>
            <w:tcW w:type="dxa" w:w="2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Федеральный закон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63-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ФЗ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6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5.</w:t>
            </w:r>
          </w:p>
        </w:tc>
        <w:tc>
          <w:tcPr>
            <w:tcW w:type="dxa" w:w="38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Настройки систем телефонии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офисных АТС фирм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клиентов</w:t>
            </w:r>
          </w:p>
        </w:tc>
        <w:tc>
          <w:tcPr>
            <w:tcW w:type="dxa" w:w="29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Конфиденциально</w:t>
            </w:r>
          </w:p>
        </w:tc>
        <w:tc>
          <w:tcPr>
            <w:tcW w:type="dxa" w:w="2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Внутренний стандарт предприятия</w:t>
            </w:r>
          </w:p>
        </w:tc>
      </w:tr>
    </w:tbl>
    <w:p>
      <w:pPr>
        <w:pStyle w:val="А"/>
        <w:widowControl w:val="0"/>
        <w:spacing w:line="240" w:lineRule="auto"/>
        <w:ind w:left="108" w:hanging="108"/>
      </w:pP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Для оценивания степени ценности активов обычно используется метод ранжирования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при котором для каждого актива проводится сопоставление некоторого ранга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числа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),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обозначающего степень его ценности относительно других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Чем выше позиция в ранжировании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тем более ценным является актив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В таблице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1.5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показаны уровни ценности активов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установленные при проведении экспертного оценивания активов специалистами компании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jc w:val="right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Таблица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1.5 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Результаты оценки активов</w:t>
      </w:r>
    </w:p>
    <w:tbl>
      <w:tblPr>
        <w:tblW w:w="9287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637"/>
        <w:gridCol w:w="3650"/>
      </w:tblGrid>
      <w:tr>
        <w:tblPrEx>
          <w:shd w:val="clear" w:color="auto" w:fill="ced7e7"/>
        </w:tblPrEx>
        <w:trPr>
          <w:trHeight w:val="638" w:hRule="atLeast"/>
        </w:trPr>
        <w:tc>
          <w:tcPr>
            <w:tcW w:type="dxa" w:w="56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Наименование актива</w:t>
            </w:r>
          </w:p>
        </w:tc>
        <w:tc>
          <w:tcPr>
            <w:tcW w:type="dxa" w:w="36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Уровень ценности актива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ранг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56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Сертификаты электронной подписи </w:t>
            </w:r>
          </w:p>
        </w:tc>
        <w:tc>
          <w:tcPr>
            <w:tcW w:type="dxa" w:w="36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56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Виртуальные машины фирм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клиентов</w:t>
            </w:r>
          </w:p>
        </w:tc>
        <w:tc>
          <w:tcPr>
            <w:tcW w:type="dxa" w:w="36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56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База знаний экспертной системы</w:t>
            </w:r>
          </w:p>
        </w:tc>
        <w:tc>
          <w:tcPr>
            <w:tcW w:type="dxa" w:w="36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56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Персональные данные сотрудников</w:t>
            </w:r>
          </w:p>
        </w:tc>
        <w:tc>
          <w:tcPr>
            <w:tcW w:type="dxa" w:w="36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56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Базы данных фирм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клиентов</w:t>
            </w:r>
          </w:p>
        </w:tc>
        <w:tc>
          <w:tcPr>
            <w:tcW w:type="dxa" w:w="36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56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Политика безопасности</w:t>
            </w:r>
          </w:p>
        </w:tc>
        <w:tc>
          <w:tcPr>
            <w:tcW w:type="dxa" w:w="36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56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С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Бухгалтерия</w:t>
            </w:r>
          </w:p>
        </w:tc>
        <w:tc>
          <w:tcPr>
            <w:tcW w:type="dxa" w:w="36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56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Данные разработки ПО фирм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клиентов</w:t>
            </w:r>
          </w:p>
        </w:tc>
        <w:tc>
          <w:tcPr>
            <w:tcW w:type="dxa" w:w="36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56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Сервер БД</w:t>
            </w:r>
          </w:p>
        </w:tc>
        <w:tc>
          <w:tcPr>
            <w:tcW w:type="dxa" w:w="36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56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Активное сетевое оборудование</w:t>
            </w:r>
          </w:p>
        </w:tc>
        <w:tc>
          <w:tcPr>
            <w:tcW w:type="dxa" w:w="36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56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Рабочие станции пользователей</w:t>
            </w:r>
          </w:p>
        </w:tc>
        <w:tc>
          <w:tcPr>
            <w:tcW w:type="dxa" w:w="36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56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 2"/>
              <w:spacing w:after="0" w:line="240" w:lineRule="auto"/>
              <w:ind w:left="0" w:firstLine="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Файловый сервер</w:t>
            </w:r>
          </w:p>
        </w:tc>
        <w:tc>
          <w:tcPr>
            <w:tcW w:type="dxa" w:w="36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</w:tr>
    </w:tbl>
    <w:p>
      <w:pPr>
        <w:pStyle w:val="Normal.0"/>
        <w:widowControl w:val="0"/>
        <w:spacing w:line="240" w:lineRule="auto"/>
        <w:ind w:firstLine="0"/>
        <w:jc w:val="center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0" w:lineRule="auto"/>
        <w:ind w:firstLine="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Таким образом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активами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имеющим наибольшую ценность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являются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: 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Сертификаты электронной подписи фирм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клиентов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Виртуальные машины фирм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клиентов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Базы данных фирм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клиентов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Сервера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База знаний экспертной системы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heading 1"/>
      </w:pPr>
      <w:bookmarkStart w:name="_Toc5" w:id="5"/>
      <w:r>
        <w:rPr>
          <w:rFonts w:cs="Arial Unicode MS" w:eastAsia="Arial Unicode MS"/>
          <w:rtl w:val="0"/>
          <w:lang w:val="ru-RU"/>
        </w:rPr>
        <w:t xml:space="preserve">1.2.2. </w:t>
      </w:r>
      <w:r>
        <w:rPr>
          <w:rFonts w:cs="Arial Unicode MS" w:eastAsia="Arial Unicode MS" w:hint="default"/>
          <w:rtl w:val="0"/>
          <w:lang w:val="ru-RU"/>
        </w:rPr>
        <w:t>Оценка уязвимостей активов</w:t>
      </w:r>
      <w:bookmarkEnd w:id="5"/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В данном разделе проведем идентификацию уязвимостей системы информационной безопасности службы одного окна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Таблица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1.9),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которые могли бы быть использованы в качестве источников угроз с целью нанесения ущерба активам и деятельности компании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качестве источника информации для оценки уязвимости активов использовались открытые базы данных в сети Интернет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Описание уязвимостей предметной области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List Paragraph"/>
        <w:numPr>
          <w:ilvl w:val="0"/>
          <w:numId w:val="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Уязвимость в системе охраны – может повлечь за собой хищение и повреждение оборудования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хищение и использование конфиденциальной информации компании против нее самой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 так же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подмену или уничтожение конфиденциальной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Нестабильность функционирования  электропитания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колебания напряжения или полное отключение электроэнергии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)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– несохраненная информация может быть утеряна при аварийном выключении или перезагрузке персонального рабочего компьютера сотрудника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 так же аппаратному обеспечению могут быть нанесены электрические повреждения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Уязвимости в микропрограммном обеспечении – могут быть использованы для вывода из строя оборудования компании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Наличие критических уязвимостей средств АВЗ и СКУД – может быть использовано в целях возможности хищения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подмены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уничтожения конфиденциальной информации и создания помех в работе локальной сети компании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Проведение атаки на отказ в обслуживании – может стать причиной отказа в работе локальной сети компании и ограничить возможности сотрудников в обмене информацией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Хищение документов – может повлечь за собой шантаж руководства компании или отдельных сотрудников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переманивание сотрудников в другую компанию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использование информации о заказах для перехвата проекта у заказчика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Использование методов социальной инженерии – может повлечь за собой рассекречивание аутентификационных данных сотрудников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коммерческой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информации о договорах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архитектуры охранной системы безопасности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расположение камер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датчиков движения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).</w:t>
      </w:r>
    </w:p>
    <w:p>
      <w:pPr>
        <w:pStyle w:val="Normal.0"/>
        <w:ind w:firstLine="708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Процедура оценки уязвимостей активам производится путем анализа исполнения требований к защищенности ИС согласно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ГОСТ Р ИСО</w:t>
      </w:r>
      <w:r>
        <w:rPr>
          <w:rFonts w:ascii="Times New Roman" w:hAnsi="Times New Roman"/>
          <w:sz w:val="28"/>
          <w:szCs w:val="28"/>
          <w:rtl w:val="0"/>
          <w:lang w:val="ru-RU"/>
        </w:rPr>
        <w:t>/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МЭК ТО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13335-3- 2007.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Аудит может производиться с целью определения уровня защищенности информационной системы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также оценки уязвимости угроз активам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Специалисты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проводящие аудит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могут быть как штатными сотрудниками организации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 и привлеченными со стороны сертифицированными специалистами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708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Оценка уязвимостей приведена в таблице </w:t>
      </w:r>
      <w:r>
        <w:rPr>
          <w:rFonts w:ascii="Times New Roman" w:hAnsi="Times New Roman"/>
          <w:sz w:val="28"/>
          <w:szCs w:val="28"/>
          <w:rtl w:val="0"/>
          <w:lang w:val="ru-RU"/>
        </w:rPr>
        <w:t>1.6.</w:t>
      </w:r>
    </w:p>
    <w:p>
      <w:pPr>
        <w:pStyle w:val="Normal.0"/>
        <w:ind w:firstLine="0"/>
        <w:jc w:val="both"/>
        <w:rPr>
          <w:rFonts w:ascii="Times New Roman" w:cs="Times New Roman" w:hAnsi="Times New Roman" w:eastAsia="Times New Roman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ind w:firstLine="0"/>
        <w:jc w:val="both"/>
        <w:rPr>
          <w:rFonts w:ascii="Times New Roman" w:cs="Times New Roman" w:hAnsi="Times New Roman" w:eastAsia="Times New Roman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ind w:firstLine="0"/>
        <w:jc w:val="both"/>
        <w:sectPr>
          <w:headerReference w:type="default" r:id="rId13"/>
          <w:headerReference w:type="first" r:id="rId14"/>
          <w:pgSz w:w="11900" w:h="16840" w:orient="portrait"/>
          <w:pgMar w:top="1134" w:right="1134" w:bottom="1134" w:left="1701" w:header="708" w:footer="708"/>
          <w:titlePg w:val="1"/>
          <w:bidi w:val="0"/>
        </w:sectPr>
      </w:pP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Таблица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1.6. </w:t>
      </w:r>
    </w:p>
    <w:p>
      <w:pPr>
        <w:pStyle w:val="Normal.0"/>
        <w:ind w:firstLine="0"/>
        <w:jc w:val="center"/>
        <w:rPr>
          <w:rFonts w:ascii="Times New Roman" w:cs="Times New Roman" w:hAnsi="Times New Roman" w:eastAsia="Times New Roman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Идентификация уязвимостей предметной области</w:t>
      </w:r>
    </w:p>
    <w:tbl>
      <w:tblPr>
        <w:tblW w:w="1466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26"/>
        <w:gridCol w:w="1983"/>
        <w:gridCol w:w="2370"/>
        <w:gridCol w:w="2561"/>
        <w:gridCol w:w="2189"/>
        <w:gridCol w:w="160"/>
        <w:gridCol w:w="2176"/>
      </w:tblGrid>
      <w:tr>
        <w:tblPrEx>
          <w:shd w:val="clear" w:color="auto" w:fill="4f81bd"/>
        </w:tblPrEx>
        <w:trPr>
          <w:trHeight w:val="222" w:hRule="atLeast"/>
          <w:tblHeader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>Группа уязвимостей</w:t>
            </w:r>
          </w:p>
        </w:tc>
        <w:tc>
          <w:tcPr>
            <w:tcW w:type="dxa" w:w="1983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База знаний экспертной системы</w:t>
            </w:r>
          </w:p>
        </w:tc>
        <w:tc>
          <w:tcPr>
            <w:tcW w:type="dxa" w:w="237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Виртуальные машины</w:t>
            </w:r>
          </w:p>
        </w:tc>
        <w:tc>
          <w:tcPr>
            <w:tcW w:type="dxa" w:w="256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Базы данных фирм</w:t>
            </w: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-</w:t>
            </w: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клиентов</w:t>
            </w:r>
          </w:p>
        </w:tc>
        <w:tc>
          <w:tcPr>
            <w:tcW w:type="dxa" w:w="2349"/>
            <w:gridSpan w:val="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Сертификаты ЭП</w:t>
            </w:r>
          </w:p>
        </w:tc>
        <w:tc>
          <w:tcPr>
            <w:tcW w:type="dxa" w:w="217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Сервера</w:t>
            </w:r>
          </w:p>
        </w:tc>
      </w:tr>
      <w:tr>
        <w:tblPrEx>
          <w:shd w:val="clear" w:color="auto" w:fill="4f81bd"/>
        </w:tblPrEx>
        <w:trPr>
          <w:trHeight w:val="442" w:hRule="atLeast"/>
          <w:tblHeader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Содержание уязвимости</w:t>
            </w:r>
          </w:p>
        </w:tc>
        <w:tc>
          <w:tcPr>
            <w:tcW w:type="dxa" w:w="1983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7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56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49"/>
            <w:gridSpan w:val="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17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4665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 xml:space="preserve">1. </w:t>
            </w: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>Среда и инфраструктура</w:t>
            </w:r>
          </w:p>
        </w:tc>
      </w:tr>
      <w:tr>
        <w:tblPrEx>
          <w:shd w:val="clear" w:color="auto" w:fill="ced7e7"/>
        </w:tblPrEx>
        <w:trPr>
          <w:trHeight w:val="66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Отсутствие физической защиты зданий</w:t>
            </w: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дверей и окон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</w:tr>
      <w:tr>
        <w:tblPrEx>
          <w:shd w:val="clear" w:color="auto" w:fill="ced7e7"/>
        </w:tblPrEx>
        <w:trPr>
          <w:trHeight w:val="154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 xml:space="preserve">Нестабильность функционирования электропитания </w:t>
            </w: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(</w:t>
            </w: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колебания напряжения или полное отключение электроэнергии</w:t>
            </w: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4665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 xml:space="preserve">2. </w:t>
            </w: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>Аппаратное обеспечение</w:t>
            </w:r>
          </w:p>
        </w:tc>
      </w:tr>
      <w:tr>
        <w:tblPrEx>
          <w:shd w:val="clear" w:color="auto" w:fill="ced7e7"/>
        </w:tblPrEx>
        <w:trPr>
          <w:trHeight w:val="66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Отсутствие схем периодической замены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</w:tr>
      <w:tr>
        <w:tblPrEx>
          <w:shd w:val="clear" w:color="auto" w:fill="ced7e7"/>
        </w:tblPrEx>
        <w:trPr>
          <w:trHeight w:val="66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Подверженность колебаниям напряжения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</w:tr>
      <w:tr>
        <w:tblPrEx>
          <w:shd w:val="clear" w:color="auto" w:fill="ced7e7"/>
        </w:tblPrEx>
        <w:trPr>
          <w:trHeight w:val="66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Подверженность воздействию влаги</w:t>
            </w: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пыли</w:t>
            </w: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загрязнения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</w:tr>
      <w:tr>
        <w:tblPrEx>
          <w:shd w:val="clear" w:color="auto" w:fill="ced7e7"/>
        </w:tblPrEx>
        <w:trPr>
          <w:trHeight w:val="88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Чувствительность к воздействию электромагнитного излучения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</w:tr>
      <w:tr>
        <w:tblPrEx>
          <w:shd w:val="clear" w:color="auto" w:fill="ced7e7"/>
        </w:tblPrEx>
        <w:trPr>
          <w:trHeight w:val="88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Отсутствие контроля за эффективным изменением конфигурации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4665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 xml:space="preserve">3. </w:t>
            </w: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>Программное обеспечение</w:t>
            </w:r>
          </w:p>
        </w:tc>
      </w:tr>
      <w:tr>
        <w:tblPrEx>
          <w:shd w:val="clear" w:color="auto" w:fill="ced7e7"/>
        </w:tblPrEx>
        <w:trPr>
          <w:trHeight w:val="132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Неясные или неполные технические требования к разработке средств программного обеспечения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</w:tr>
      <w:tr>
        <w:tblPrEx>
          <w:shd w:val="clear" w:color="auto" w:fill="ced7e7"/>
        </w:tblPrEx>
        <w:trPr>
          <w:trHeight w:val="132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Отсутствие тестирования или недостаточное тестирование программного обеспечения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</w:tr>
      <w:tr>
        <w:tblPrEx>
          <w:shd w:val="clear" w:color="auto" w:fill="ced7e7"/>
        </w:tblPrEx>
        <w:trPr>
          <w:trHeight w:val="319" w:hRule="atLeast"/>
        </w:trPr>
        <w:tc>
          <w:tcPr>
            <w:tcW w:type="dxa" w:w="14665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right"/>
            </w:pPr>
            <w:r>
              <w:rPr>
                <w:shd w:val="nil" w:color="auto" w:fill="auto"/>
                <w:rtl w:val="0"/>
                <w:lang w:val="ru-RU"/>
              </w:rPr>
              <w:t xml:space="preserve">Продолжение таблицы </w:t>
            </w:r>
            <w:r>
              <w:rPr>
                <w:shd w:val="nil" w:color="auto" w:fill="auto"/>
                <w:rtl w:val="0"/>
                <w:lang w:val="ru-RU"/>
              </w:rPr>
              <w:t>1.6</w:t>
            </w:r>
          </w:p>
        </w:tc>
      </w:tr>
      <w:tr>
        <w:tblPrEx>
          <w:shd w:val="clear" w:color="auto" w:fill="ced7e7"/>
        </w:tblPrEx>
        <w:trPr>
          <w:trHeight w:val="319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>Группа уязвимостей</w:t>
            </w:r>
          </w:p>
        </w:tc>
        <w:tc>
          <w:tcPr>
            <w:tcW w:type="dxa" w:w="1983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База знаний экспертной системы</w:t>
            </w:r>
          </w:p>
        </w:tc>
        <w:tc>
          <w:tcPr>
            <w:tcW w:type="dxa" w:w="237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Виртуальные машины</w:t>
            </w:r>
          </w:p>
        </w:tc>
        <w:tc>
          <w:tcPr>
            <w:tcW w:type="dxa" w:w="256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Базы данных фирм</w:t>
            </w: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-</w:t>
            </w: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клиентов</w:t>
            </w:r>
          </w:p>
        </w:tc>
        <w:tc>
          <w:tcPr>
            <w:tcW w:type="dxa" w:w="2349"/>
            <w:gridSpan w:val="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Сертификаты ЭП</w:t>
            </w:r>
          </w:p>
        </w:tc>
        <w:tc>
          <w:tcPr>
            <w:tcW w:type="dxa" w:w="217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Сервера</w:t>
            </w:r>
          </w:p>
        </w:tc>
      </w:tr>
      <w:tr>
        <w:tblPrEx>
          <w:shd w:val="clear" w:color="auto" w:fill="ced7e7"/>
        </w:tblPrEx>
        <w:trPr>
          <w:trHeight w:val="44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Содержание уязвимости</w:t>
            </w:r>
          </w:p>
        </w:tc>
        <w:tc>
          <w:tcPr>
            <w:tcW w:type="dxa" w:w="1983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7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56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49"/>
            <w:gridSpan w:val="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17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ed7e7"/>
        </w:tblPrEx>
        <w:trPr>
          <w:trHeight w:val="66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Сложный пользовательский интерфейс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</w:tr>
      <w:tr>
        <w:tblPrEx>
          <w:shd w:val="clear" w:color="auto" w:fill="ced7e7"/>
        </w:tblPrEx>
        <w:trPr>
          <w:trHeight w:val="154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Отсутствие механизмов идентификации и аутентификации</w:t>
            </w: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например аутентификации пользователей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</w:tr>
      <w:tr>
        <w:tblPrEx>
          <w:shd w:val="clear" w:color="auto" w:fill="ced7e7"/>
        </w:tblPrEx>
        <w:trPr>
          <w:trHeight w:val="44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Отсутствие аудиторской проверки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</w:tr>
      <w:tr>
        <w:tblPrEx>
          <w:shd w:val="clear" w:color="auto" w:fill="ced7e7"/>
        </w:tblPrEx>
        <w:trPr>
          <w:trHeight w:val="88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Хорошо известные дефекты программного обеспечения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</w:tr>
      <w:tr>
        <w:tblPrEx>
          <w:shd w:val="clear" w:color="auto" w:fill="ced7e7"/>
        </w:tblPrEx>
        <w:trPr>
          <w:trHeight w:val="44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Незащищенные таблицы паролей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4665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4</w:t>
            </w: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>Коммуникации</w:t>
            </w:r>
          </w:p>
        </w:tc>
      </w:tr>
      <w:tr>
        <w:tblPrEx>
          <w:shd w:val="clear" w:color="auto" w:fill="ced7e7"/>
        </w:tblPrEx>
        <w:trPr>
          <w:trHeight w:val="44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Незащищенные линии связи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</w:tr>
      <w:tr>
        <w:tblPrEx>
          <w:shd w:val="clear" w:color="auto" w:fill="ced7e7"/>
        </w:tblPrEx>
        <w:trPr>
          <w:trHeight w:val="1278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hd w:val="nil" w:color="auto" w:fill="auto"/>
                <w:rtl w:val="0"/>
                <w:lang w:val="ru-RU"/>
              </w:rPr>
              <w:t>Неудовлетворительная стыковка кабелей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</w:tr>
      <w:tr>
        <w:tblPrEx>
          <w:shd w:val="clear" w:color="auto" w:fill="ced7e7"/>
        </w:tblPrEx>
        <w:trPr>
          <w:trHeight w:val="44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Пересылка паролей открытым текстом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</w:tr>
      <w:tr>
        <w:tblPrEx>
          <w:shd w:val="clear" w:color="auto" w:fill="ced7e7"/>
        </w:tblPrEx>
        <w:trPr>
          <w:trHeight w:val="60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18"/>
                <w:szCs w:val="18"/>
                <w:shd w:val="nil" w:color="auto" w:fill="auto"/>
                <w:rtl w:val="0"/>
                <w:lang w:val="ru-RU"/>
              </w:rPr>
              <w:t>Незащищенные потоки конфиденциальной информации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</w:tr>
      <w:tr>
        <w:tblPrEx>
          <w:shd w:val="clear" w:color="auto" w:fill="ced7e7"/>
        </w:tblPrEx>
        <w:trPr>
          <w:trHeight w:val="66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Незащищенные подключения к сетям общего пользования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4665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 xml:space="preserve">5. </w:t>
            </w: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 xml:space="preserve">Документы </w:t>
            </w: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>(</w:t>
            </w: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>документооборот</w:t>
            </w: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>)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Хищение документов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4665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 xml:space="preserve">6. </w:t>
            </w: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>Персонал</w:t>
            </w:r>
          </w:p>
        </w:tc>
      </w:tr>
      <w:tr>
        <w:tblPrEx>
          <w:shd w:val="clear" w:color="auto" w:fill="ced7e7"/>
        </w:tblPrEx>
        <w:trPr>
          <w:trHeight w:val="110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Недостаточная подготовка персонала по вопросам обеспечения безопасности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средний</w:t>
            </w:r>
          </w:p>
        </w:tc>
      </w:tr>
      <w:tr>
        <w:tblPrEx>
          <w:shd w:val="clear" w:color="auto" w:fill="ced7e7"/>
        </w:tblPrEx>
        <w:trPr>
          <w:trHeight w:val="319" w:hRule="atLeast"/>
        </w:trPr>
        <w:tc>
          <w:tcPr>
            <w:tcW w:type="dxa" w:w="14665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right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Продолжение таблицы 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1.6</w:t>
            </w:r>
          </w:p>
        </w:tc>
      </w:tr>
      <w:tr>
        <w:tblPrEx>
          <w:shd w:val="clear" w:color="auto" w:fill="ced7e7"/>
        </w:tblPrEx>
        <w:trPr>
          <w:trHeight w:val="319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>Группа уязвимостей</w:t>
            </w:r>
          </w:p>
        </w:tc>
        <w:tc>
          <w:tcPr>
            <w:tcW w:type="dxa" w:w="1983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База знаний экспертной системы</w:t>
            </w:r>
          </w:p>
        </w:tc>
        <w:tc>
          <w:tcPr>
            <w:tcW w:type="dxa" w:w="237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Виртуальные машины</w:t>
            </w:r>
          </w:p>
        </w:tc>
        <w:tc>
          <w:tcPr>
            <w:tcW w:type="dxa" w:w="256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Базы данных фирм</w:t>
            </w: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-</w:t>
            </w: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клиентов</w:t>
            </w:r>
          </w:p>
        </w:tc>
        <w:tc>
          <w:tcPr>
            <w:tcW w:type="dxa" w:w="2349"/>
            <w:gridSpan w:val="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Сертификаты ЭП</w:t>
            </w:r>
          </w:p>
        </w:tc>
        <w:tc>
          <w:tcPr>
            <w:tcW w:type="dxa" w:w="217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Сервера</w:t>
            </w:r>
          </w:p>
        </w:tc>
      </w:tr>
      <w:tr>
        <w:tblPrEx>
          <w:shd w:val="clear" w:color="auto" w:fill="ced7e7"/>
        </w:tblPrEx>
        <w:trPr>
          <w:trHeight w:val="44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Содержание уязвимости</w:t>
            </w:r>
          </w:p>
        </w:tc>
        <w:tc>
          <w:tcPr>
            <w:tcW w:type="dxa" w:w="1983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7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56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49"/>
            <w:gridSpan w:val="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17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ed7e7"/>
        </w:tblPrEx>
        <w:trPr>
          <w:trHeight w:val="110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Неправильное использование программно</w:t>
            </w: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-</w:t>
            </w: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аппаратного обеспечения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</w:tr>
      <w:tr>
        <w:tblPrEx>
          <w:shd w:val="clear" w:color="auto" w:fill="ced7e7"/>
        </w:tblPrEx>
        <w:trPr>
          <w:trHeight w:val="66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Отсутствие механизмов отслеживания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</w:tr>
      <w:tr>
        <w:tblPrEx>
          <w:shd w:val="clear" w:color="auto" w:fill="ced7e7"/>
        </w:tblPrEx>
        <w:trPr>
          <w:trHeight w:val="66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Несоответствующие процедуры набора кадров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4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1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4665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 xml:space="preserve">7. </w:t>
            </w: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ru-RU"/>
              </w:rPr>
              <w:t>Общие уязвимые места</w:t>
            </w:r>
          </w:p>
        </w:tc>
      </w:tr>
      <w:tr>
        <w:tblPrEx>
          <w:shd w:val="clear" w:color="auto" w:fill="ced7e7"/>
        </w:tblPrEx>
        <w:trPr>
          <w:trHeight w:val="66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Отказ системы вследствие отказа одного из элементов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1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3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</w:tr>
      <w:tr>
        <w:tblPrEx>
          <w:shd w:val="clear" w:color="auto" w:fill="ced7e7"/>
        </w:tblPrEx>
        <w:trPr>
          <w:trHeight w:val="1102" w:hRule="atLeast"/>
        </w:trPr>
        <w:tc>
          <w:tcPr>
            <w:tcW w:type="dxa" w:w="32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Неадекватные результаты проведения технического обслуживания</w:t>
            </w:r>
          </w:p>
        </w:tc>
        <w:tc>
          <w:tcPr>
            <w:tcW w:type="dxa" w:w="19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21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233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высокий</w:t>
            </w:r>
          </w:p>
        </w:tc>
      </w:tr>
    </w:tbl>
    <w:p>
      <w:pPr>
        <w:pStyle w:val="Normal.0"/>
        <w:spacing w:line="240" w:lineRule="auto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jc w:val="both"/>
        <w:sectPr>
          <w:headerReference w:type="default" r:id="rId15"/>
          <w:headerReference w:type="first" r:id="rId16"/>
          <w:pgSz w:w="11900" w:h="16840" w:orient="portrait"/>
          <w:pgMar w:top="1560" w:right="1134" w:bottom="993" w:left="1134" w:header="708" w:footer="708"/>
          <w:titlePg w:val="1"/>
          <w:bidi w:val="0"/>
        </w:sectPr>
      </w:pPr>
    </w:p>
    <w:p>
      <w:pPr>
        <w:pStyle w:val="Normal.0"/>
        <w:jc w:val="right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Таблица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1.7. </w:t>
      </w:r>
    </w:p>
    <w:p>
      <w:pPr>
        <w:pStyle w:val="Normal.0"/>
        <w:jc w:val="center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Результаты оценки угроз активам</w:t>
      </w:r>
    </w:p>
    <w:tbl>
      <w:tblPr>
        <w:tblW w:w="9632" w:type="dxa"/>
        <w:jc w:val="center"/>
        <w:tblInd w:w="64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79"/>
        <w:gridCol w:w="1256"/>
        <w:gridCol w:w="1259"/>
        <w:gridCol w:w="1327"/>
        <w:gridCol w:w="1259"/>
        <w:gridCol w:w="1252"/>
      </w:tblGrid>
      <w:tr>
        <w:tblPrEx>
          <w:shd w:val="clear" w:color="auto" w:fill="ced7e7"/>
        </w:tblPrEx>
        <w:trPr>
          <w:trHeight w:val="1847" w:hRule="atLeast"/>
        </w:trPr>
        <w:tc>
          <w:tcPr>
            <w:tcW w:type="dxa" w:w="32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ind w:firstLine="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6"/>
                <w:szCs w:val="26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>Группа угроз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>Содержание угроз</w:t>
            </w:r>
          </w:p>
        </w:tc>
        <w:tc>
          <w:tcPr>
            <w:tcW w:type="dxa" w:w="1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База знаний экспертной системы</w:t>
            </w:r>
          </w:p>
        </w:tc>
        <w:tc>
          <w:tcPr>
            <w:tcW w:type="dxa" w:w="12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Виртуальные машины</w:t>
            </w:r>
          </w:p>
        </w:tc>
        <w:tc>
          <w:tcPr>
            <w:tcW w:type="dxa" w:w="13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Базы данных фирм</w:t>
            </w: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-</w:t>
            </w: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клиентов</w:t>
            </w:r>
          </w:p>
        </w:tc>
        <w:tc>
          <w:tcPr>
            <w:tcW w:type="dxa" w:w="1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Сертификаты ЭП</w:t>
            </w:r>
          </w:p>
        </w:tc>
        <w:tc>
          <w:tcPr>
            <w:tcW w:type="dxa" w:w="12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ind w:firstLine="0"/>
              <w:jc w:val="center"/>
            </w:pPr>
            <w:r>
              <w:rPr>
                <w:b w:val="1"/>
                <w:bCs w:val="1"/>
                <w:strike w:val="0"/>
                <w:dstrike w:val="0"/>
                <w:sz w:val="20"/>
                <w:szCs w:val="20"/>
                <w:shd w:val="nil" w:color="auto" w:fill="auto"/>
                <w:rtl w:val="0"/>
                <w:lang w:val="ru-RU"/>
              </w:rPr>
              <w:t>Сервера</w:t>
            </w:r>
          </w:p>
        </w:tc>
      </w:tr>
      <w:tr>
        <w:tblPrEx>
          <w:shd w:val="clear" w:color="auto" w:fill="ced7e7"/>
        </w:tblPrEx>
        <w:trPr>
          <w:trHeight w:val="319" w:hRule="atLeast"/>
        </w:trPr>
        <w:tc>
          <w:tcPr>
            <w:tcW w:type="dxa" w:w="963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center"/>
            </w:pP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 xml:space="preserve">1.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>Угрозы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>обусловленные преднамеренными действиями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2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Умышленная порча или вывод из строя оборудования</w:t>
            </w:r>
          </w:p>
        </w:tc>
        <w:tc>
          <w:tcPr>
            <w:tcW w:type="dxa" w:w="1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Средняя</w:t>
            </w:r>
          </w:p>
        </w:tc>
        <w:tc>
          <w:tcPr>
            <w:tcW w:type="dxa" w:w="12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Средняя</w:t>
            </w:r>
          </w:p>
        </w:tc>
        <w:tc>
          <w:tcPr>
            <w:tcW w:type="dxa" w:w="13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</w:tr>
      <w:tr>
        <w:tblPrEx>
          <w:shd w:val="clear" w:color="auto" w:fill="ced7e7"/>
        </w:tblPrEx>
        <w:trPr>
          <w:trHeight w:val="721" w:hRule="atLeast"/>
        </w:trPr>
        <w:tc>
          <w:tcPr>
            <w:tcW w:type="dxa" w:w="32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Несанкционированное получение конфиденциальной информации</w:t>
            </w:r>
          </w:p>
        </w:tc>
        <w:tc>
          <w:tcPr>
            <w:tcW w:type="dxa" w:w="1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3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2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Хищение носителей информации</w:t>
            </w:r>
          </w:p>
        </w:tc>
        <w:tc>
          <w:tcPr>
            <w:tcW w:type="dxa" w:w="1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3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</w:tr>
      <w:tr>
        <w:tblPrEx>
          <w:shd w:val="clear" w:color="auto" w:fill="ced7e7"/>
        </w:tblPrEx>
        <w:trPr>
          <w:trHeight w:val="319" w:hRule="atLeast"/>
        </w:trPr>
        <w:tc>
          <w:tcPr>
            <w:tcW w:type="dxa" w:w="963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center"/>
            </w:pP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 xml:space="preserve">2.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>Угрозы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>обусловленные случайными действиями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2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Неумышленная порча оборудования</w:t>
            </w:r>
          </w:p>
        </w:tc>
        <w:tc>
          <w:tcPr>
            <w:tcW w:type="dxa" w:w="1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Средняя</w:t>
            </w:r>
          </w:p>
        </w:tc>
        <w:tc>
          <w:tcPr>
            <w:tcW w:type="dxa" w:w="12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Средняя</w:t>
            </w:r>
          </w:p>
        </w:tc>
        <w:tc>
          <w:tcPr>
            <w:tcW w:type="dxa" w:w="13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Средняя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2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Неумышленное разглашение информации</w:t>
            </w:r>
          </w:p>
        </w:tc>
        <w:tc>
          <w:tcPr>
            <w:tcW w:type="dxa" w:w="1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3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1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Низкий</w:t>
            </w:r>
          </w:p>
        </w:tc>
        <w:tc>
          <w:tcPr>
            <w:tcW w:type="dxa" w:w="12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Низкий</w:t>
            </w:r>
          </w:p>
        </w:tc>
      </w:tr>
      <w:tr>
        <w:tblPrEx>
          <w:shd w:val="clear" w:color="auto" w:fill="ced7e7"/>
        </w:tblPrEx>
        <w:trPr>
          <w:trHeight w:val="721" w:hRule="atLeast"/>
        </w:trPr>
        <w:tc>
          <w:tcPr>
            <w:tcW w:type="dxa" w:w="32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Неумышленная порча или утеря информации</w:t>
            </w:r>
            <w:r>
              <w:rPr>
                <w:rFonts w:ascii="Times New Roman" w:hAnsi="Times New Roman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включая носители информации</w:t>
            </w:r>
          </w:p>
        </w:tc>
        <w:tc>
          <w:tcPr>
            <w:tcW w:type="dxa" w:w="1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13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Средний</w:t>
            </w:r>
          </w:p>
        </w:tc>
        <w:tc>
          <w:tcPr>
            <w:tcW w:type="dxa" w:w="1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Средняя</w:t>
            </w:r>
          </w:p>
        </w:tc>
      </w:tr>
      <w:tr>
        <w:tblPrEx>
          <w:shd w:val="clear" w:color="auto" w:fill="ced7e7"/>
        </w:tblPrEx>
        <w:trPr>
          <w:trHeight w:val="639" w:hRule="atLeast"/>
        </w:trPr>
        <w:tc>
          <w:tcPr>
            <w:tcW w:type="dxa" w:w="963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center"/>
            </w:pP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 xml:space="preserve">3.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>Угрозы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 xml:space="preserve">обусловленные естественными причинами 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>природные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>техногенные факторы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6"/>
                <w:szCs w:val="26"/>
                <w:shd w:val="nil" w:color="auto" w:fill="auto"/>
                <w:rtl w:val="0"/>
                <w:lang w:val="ru-RU"/>
              </w:rPr>
              <w:t>)</w:t>
            </w:r>
          </w:p>
        </w:tc>
      </w:tr>
      <w:tr>
        <w:tblPrEx>
          <w:shd w:val="clear" w:color="auto" w:fill="ced7e7"/>
        </w:tblPrEx>
        <w:trPr>
          <w:trHeight w:val="241" w:hRule="atLeast"/>
        </w:trPr>
        <w:tc>
          <w:tcPr>
            <w:tcW w:type="dxa" w:w="32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Пожары</w:t>
            </w:r>
          </w:p>
        </w:tc>
        <w:tc>
          <w:tcPr>
            <w:tcW w:type="dxa" w:w="1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3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</w:tr>
      <w:tr>
        <w:tblPrEx>
          <w:shd w:val="clear" w:color="auto" w:fill="ced7e7"/>
        </w:tblPrEx>
        <w:trPr>
          <w:trHeight w:val="721" w:hRule="atLeast"/>
        </w:trPr>
        <w:tc>
          <w:tcPr>
            <w:tcW w:type="dxa" w:w="32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Обрушение здания вследствие нарушения технологии строительства</w:t>
            </w:r>
          </w:p>
        </w:tc>
        <w:tc>
          <w:tcPr>
            <w:tcW w:type="dxa" w:w="1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3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  <w:tc>
          <w:tcPr>
            <w:tcW w:type="dxa" w:w="12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hd w:val="nil" w:color="auto" w:fill="auto"/>
                <w:rtl w:val="0"/>
                <w:lang w:val="ru-RU"/>
              </w:rPr>
              <w:t>Высокий</w:t>
            </w:r>
          </w:p>
        </w:tc>
      </w:tr>
    </w:tbl>
    <w:p>
      <w:pPr>
        <w:pStyle w:val="Normal.0"/>
        <w:widowControl w:val="0"/>
        <w:spacing w:line="240" w:lineRule="auto"/>
        <w:ind w:left="534" w:hanging="534"/>
        <w:jc w:val="center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jc w:val="center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jc w:val="both"/>
        <w:sectPr>
          <w:headerReference w:type="default" r:id="rId17"/>
          <w:headerReference w:type="first" r:id="rId18"/>
          <w:pgSz w:w="11900" w:h="16840" w:orient="portrait"/>
          <w:pgMar w:top="1701" w:right="1134" w:bottom="1134" w:left="1134" w:header="708" w:footer="708"/>
          <w:titlePg w:val="1"/>
          <w:bidi w:val="0"/>
        </w:sectPr>
      </w:pPr>
    </w:p>
    <w:p>
      <w:pPr>
        <w:pStyle w:val="диплом заголовок 2"/>
      </w:pPr>
      <w:bookmarkStart w:name="_Toc6" w:id="6"/>
      <w:r>
        <w:rPr>
          <w:rFonts w:cs="Arial Unicode MS" w:eastAsia="Arial Unicode MS"/>
          <w:rtl w:val="0"/>
          <w:lang w:val="ru-RU"/>
        </w:rPr>
        <w:t>1.3.</w:t>
      </w:r>
      <w:r>
        <w:rPr>
          <w:rFonts w:cs="Arial Unicode MS" w:eastAsia="Arial Unicode MS" w:hint="default"/>
          <w:rtl w:val="0"/>
          <w:lang w:val="ru-RU"/>
        </w:rPr>
        <w:t>Характеристика комплекса задач</w:t>
      </w:r>
      <w:r>
        <w:rPr>
          <w:rFonts w:cs="Arial Unicode MS" w:eastAsia="Arial Unicode MS"/>
          <w:rtl w:val="0"/>
          <w:lang w:val="ru-RU"/>
        </w:rPr>
        <w:t xml:space="preserve">, </w:t>
      </w:r>
      <w:r>
        <w:rPr>
          <w:rFonts w:cs="Arial Unicode MS" w:eastAsia="Arial Unicode MS" w:hint="default"/>
          <w:rtl w:val="0"/>
          <w:lang w:val="ru-RU"/>
        </w:rPr>
        <w:t>задачи и обоснование необходимости совершенствования системы обеспечения информационной безопасности и защиты информации на предприятии</w:t>
      </w:r>
      <w:bookmarkEnd w:id="6"/>
    </w:p>
    <w:p>
      <w:pPr>
        <w:pStyle w:val="Normal.0"/>
        <w:jc w:val="both"/>
        <w:rPr>
          <w:b w:val="1"/>
          <w:bCs w:val="1"/>
        </w:rPr>
      </w:pP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На схеме ниже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рисунок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3)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указано схематическое расположение комплекса задач по обеспечению безопасности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Задачи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решаемые в рамках данной работы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выделены более темным фоном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комплекс задач по обеспечению информационной безопасности и защиты информации в рамках данного проекта входит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List Paragraph"/>
        <w:numPr>
          <w:ilvl w:val="0"/>
          <w:numId w:val="10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Максимальная степень оцифровки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хранящейся на бумажных носителях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10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Уничтожение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хранимой на бумажных носителях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после ее оцифровки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10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Необходимость авторизации пользователей при их подключении к сетевым ресурсам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10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Централизованное управление системой антивирусной защиты с отключением прав конечных пользователей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10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Декодирование электронных пропусков сотрудников после их увольнения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10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Оснащение общего коридора дополнительной камерой видеонаблюдения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10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Дооснащение кабинетов камерами видеонаблюдения в дополнение к инфракрасным датчикам движения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numPr>
          <w:ilvl w:val="0"/>
          <w:numId w:val="10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Применение дополнительных мер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обеспечивающих защиту от активности вирусного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шпионского ПО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 также от возможной инсайдерской активности</w:t>
      </w:r>
    </w:p>
    <w:p>
      <w:pPr>
        <w:pStyle w:val="List Paragraph"/>
        <w:numPr>
          <w:ilvl w:val="0"/>
          <w:numId w:val="10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Применение аппаратных средств аутентификации пользователей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"/>
        <w:ind w:left="709" w:firstLine="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mc:AlternateContent>
          <mc:Choice Requires="wps">
            <w:drawing>
              <wp:anchor distT="0" distB="0" distL="0" distR="0" simplePos="0" relativeHeight="251668480" behindDoc="0" locked="0" layoutInCell="1" allowOverlap="1">
                <wp:simplePos x="0" y="0"/>
                <wp:positionH relativeFrom="column">
                  <wp:posOffset>605789</wp:posOffset>
                </wp:positionH>
                <wp:positionV relativeFrom="line">
                  <wp:posOffset>3340735</wp:posOffset>
                </wp:positionV>
                <wp:extent cx="842645" cy="391796"/>
                <wp:effectExtent l="0" t="0" r="0" b="0"/>
                <wp:wrapNone/>
                <wp:docPr id="1073741871" name="officeArt object" descr="Двойная стрелка влево/вправо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842645" cy="391796"/>
                        </a:xfrm>
                        <a:prstGeom prst="left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chemeClr val="accent1"/>
                        </a:solidFill>
                        <a:ln w="25400" cap="flat">
                          <a:solidFill>
                            <a:srgbClr val="3A5E8A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71" type="#_x0000_t69" style="visibility:visible;position:absolute;margin-left:0.0pt;margin-top:0.0pt;width:66.3pt;height:30.9pt;z-index:251668480;mso-position-horizontal:absolute;mso-position-horizontal-relative:text;mso-position-vertical:absolute;mso-position-vertical-relative:line;mso-wrap-distance-left:0.0pt;mso-wrap-distance-top:0.0pt;mso-wrap-distance-right:0.0pt;mso-wrap-distance-bottom:0.0pt;rotation:5898240fd;" adj="5022,5400">
                <v:fill color="#4F81BD" opacity="100.0%" type="solid"/>
                <v:stroke filltype="solid" color="#3A5E8A" opacity="100.0%" weight="2.0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75648" behindDoc="0" locked="0" layoutInCell="1" allowOverlap="1">
                <wp:simplePos x="0" y="0"/>
                <wp:positionH relativeFrom="column">
                  <wp:posOffset>1912620</wp:posOffset>
                </wp:positionH>
                <wp:positionV relativeFrom="line">
                  <wp:posOffset>6492240</wp:posOffset>
                </wp:positionV>
                <wp:extent cx="213996" cy="249555"/>
                <wp:effectExtent l="0" t="0" r="0" b="0"/>
                <wp:wrapNone/>
                <wp:docPr id="1073741872" name="officeArt object" descr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6" cy="24955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25400" cap="flat">
                          <a:solidFill>
                            <a:srgbClr val="3A5E8A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72" style="visibility:visible;position:absolute;margin-left:150.6pt;margin-top:511.2pt;width:16.9pt;height:19.6pt;z-index:25167564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4F81BD" opacity="100.0%" type="solid"/>
                <v:stroke filltype="solid" color="#3A5E8A" opacity="100.0%" weight="2.0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74624" behindDoc="0" locked="0" layoutInCell="1" allowOverlap="1">
                <wp:simplePos x="0" y="0"/>
                <wp:positionH relativeFrom="column">
                  <wp:posOffset>1912620</wp:posOffset>
                </wp:positionH>
                <wp:positionV relativeFrom="line">
                  <wp:posOffset>5715634</wp:posOffset>
                </wp:positionV>
                <wp:extent cx="213996" cy="249555"/>
                <wp:effectExtent l="0" t="0" r="0" b="0"/>
                <wp:wrapNone/>
                <wp:docPr id="1073741873" name="officeArt object" descr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6" cy="24955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25400" cap="flat">
                          <a:solidFill>
                            <a:srgbClr val="3A5E8A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73" style="visibility:visible;position:absolute;margin-left:150.6pt;margin-top:450.0pt;width:16.9pt;height:19.6pt;z-index:25167462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4F81BD" opacity="100.0%" type="solid"/>
                <v:stroke filltype="solid" color="#3A5E8A" opacity="100.0%" weight="2.0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73600" behindDoc="0" locked="0" layoutInCell="1" allowOverlap="1">
                <wp:simplePos x="0" y="0"/>
                <wp:positionH relativeFrom="column">
                  <wp:posOffset>1915160</wp:posOffset>
                </wp:positionH>
                <wp:positionV relativeFrom="line">
                  <wp:posOffset>4939029</wp:posOffset>
                </wp:positionV>
                <wp:extent cx="213996" cy="249555"/>
                <wp:effectExtent l="0" t="0" r="0" b="0"/>
                <wp:wrapNone/>
                <wp:docPr id="1073741874" name="officeArt object" descr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6" cy="24955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25400" cap="flat">
                          <a:solidFill>
                            <a:srgbClr val="3A5E8A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74" style="visibility:visible;position:absolute;margin-left:150.8pt;margin-top:388.9pt;width:16.9pt;height:19.6pt;z-index:251673600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4F81BD" opacity="100.0%" type="solid"/>
                <v:stroke filltype="solid" color="#3A5E8A" opacity="100.0%" weight="2.0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72576" behindDoc="0" locked="0" layoutInCell="1" allowOverlap="1">
                <wp:simplePos x="0" y="0"/>
                <wp:positionH relativeFrom="column">
                  <wp:posOffset>1915160</wp:posOffset>
                </wp:positionH>
                <wp:positionV relativeFrom="line">
                  <wp:posOffset>3990340</wp:posOffset>
                </wp:positionV>
                <wp:extent cx="213996" cy="249555"/>
                <wp:effectExtent l="0" t="0" r="0" b="0"/>
                <wp:wrapNone/>
                <wp:docPr id="1073741875" name="officeArt object" descr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6" cy="24955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25400" cap="flat">
                          <a:solidFill>
                            <a:srgbClr val="3A5E8A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75" style="visibility:visible;position:absolute;margin-left:150.8pt;margin-top:314.2pt;width:16.9pt;height:19.6pt;z-index:251672576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4F81BD" opacity="100.0%" type="solid"/>
                <v:stroke filltype="solid" color="#3A5E8A" opacity="100.0%" weight="2.0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71552" behindDoc="0" locked="0" layoutInCell="1" allowOverlap="1">
                <wp:simplePos x="0" y="0"/>
                <wp:positionH relativeFrom="column">
                  <wp:posOffset>1906904</wp:posOffset>
                </wp:positionH>
                <wp:positionV relativeFrom="line">
                  <wp:posOffset>2716529</wp:posOffset>
                </wp:positionV>
                <wp:extent cx="213996" cy="249555"/>
                <wp:effectExtent l="0" t="0" r="0" b="0"/>
                <wp:wrapNone/>
                <wp:docPr id="1073741876" name="officeArt object" descr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6" cy="24955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25400" cap="flat">
                          <a:solidFill>
                            <a:srgbClr val="3A5E8A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76" style="visibility:visible;position:absolute;margin-left:150.1pt;margin-top:213.9pt;width:16.9pt;height:19.6pt;z-index:251671552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4F81BD" opacity="100.0%" type="solid"/>
                <v:stroke filltype="solid" color="#3A5E8A" opacity="100.0%" weight="2.0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70528" behindDoc="0" locked="0" layoutInCell="1" allowOverlap="1">
                <wp:simplePos x="0" y="0"/>
                <wp:positionH relativeFrom="column">
                  <wp:posOffset>1915160</wp:posOffset>
                </wp:positionH>
                <wp:positionV relativeFrom="line">
                  <wp:posOffset>1615439</wp:posOffset>
                </wp:positionV>
                <wp:extent cx="213996" cy="249555"/>
                <wp:effectExtent l="0" t="0" r="0" b="0"/>
                <wp:wrapNone/>
                <wp:docPr id="1073741877" name="officeArt object" descr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6" cy="24955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25400" cap="flat">
                          <a:solidFill>
                            <a:srgbClr val="3A5E8A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77" style="visibility:visible;position:absolute;margin-left:150.8pt;margin-top:127.2pt;width:16.9pt;height:19.6pt;z-index:25167052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4F81BD" opacity="100.0%" type="solid"/>
                <v:stroke filltype="solid" color="#3A5E8A" opacity="100.0%" weight="2.0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9504" behindDoc="0" locked="0" layoutInCell="1" allowOverlap="1">
                <wp:simplePos x="0" y="0"/>
                <wp:positionH relativeFrom="column">
                  <wp:posOffset>1911985</wp:posOffset>
                </wp:positionH>
                <wp:positionV relativeFrom="line">
                  <wp:posOffset>706119</wp:posOffset>
                </wp:positionV>
                <wp:extent cx="213996" cy="249555"/>
                <wp:effectExtent l="0" t="0" r="0" b="0"/>
                <wp:wrapNone/>
                <wp:docPr id="1073741878" name="officeArt object" descr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6" cy="24955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25400" cap="flat">
                          <a:solidFill>
                            <a:srgbClr val="3A5E8A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78" style="visibility:visible;position:absolute;margin-left:150.6pt;margin-top:55.6pt;width:16.9pt;height:19.6pt;z-index:25166950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4F81BD" opacity="100.0%" type="solid"/>
                <v:stroke filltype="solid" color="#3A5E8A" opacity="100.0%" weight="2.0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line">
                  <wp:posOffset>3721100</wp:posOffset>
                </wp:positionV>
                <wp:extent cx="1781175" cy="3277235"/>
                <wp:effectExtent l="0" t="0" r="0" b="0"/>
                <wp:wrapNone/>
                <wp:docPr id="1073741879" name="officeArt object" descr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3277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Normal.0"/>
                              <w:jc w:val="center"/>
                            </w:pPr>
                            <w:r>
                              <w:rPr>
                                <w:rFonts w:ascii="Times New Roman" w:hAnsi="Times New Roman" w:hint="default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Программные средства защиты информации</w:t>
                            </w:r>
                          </w:p>
                        </w:txbxContent>
                      </wps:txbx>
                      <wps:bodyPr wrap="square" lIns="45719" tIns="45719" rIns="45719" bIns="45719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9" type="#_x0000_t202" style="visibility:visible;position:absolute;margin-left:10.3pt;margin-top:293.0pt;width:140.2pt;height:258.0pt;z-index:25166028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Normal.0"/>
                        <w:jc w:val="center"/>
                      </w:pPr>
                      <w:r>
                        <w:rPr>
                          <w:rFonts w:ascii="Times New Roman" w:hAnsi="Times New Roman" w:hint="default"/>
                          <w:sz w:val="28"/>
                          <w:szCs w:val="28"/>
                          <w:rtl w:val="0"/>
                          <w:lang w:val="ru-RU"/>
                        </w:rPr>
                        <w:t>Программные средства защиты информации</w:t>
                      </w:r>
                    </w:p>
                  </w:txbxContent>
                </v:textbox>
                <w10:wrap type="none" side="bothSides" anchorx="text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7456" behindDoc="0" locked="0" layoutInCell="1" allowOverlap="1">
                <wp:simplePos x="0" y="0"/>
                <wp:positionH relativeFrom="column">
                  <wp:posOffset>2125980</wp:posOffset>
                </wp:positionH>
                <wp:positionV relativeFrom="line">
                  <wp:posOffset>6215379</wp:posOffset>
                </wp:positionV>
                <wp:extent cx="3443605" cy="783591"/>
                <wp:effectExtent l="0" t="0" r="0" b="0"/>
                <wp:wrapNone/>
                <wp:docPr id="1073741880" name="officeArt object" descr="Пол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3605" cy="783591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Normal.0"/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rFonts w:ascii="Times New Roman" w:hAnsi="Times New Roman" w:hint="default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 xml:space="preserve">Улучшение средств администрирования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hint="default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установка бесплатного и более мощного диспетчера задач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45719" tIns="45719" rIns="45719" bIns="45719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0" type="#_x0000_t202" style="visibility:visible;position:absolute;margin-left:167.4pt;margin-top:489.4pt;width:271.1pt;height:61.7pt;z-index:251667456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D9D9D9" opacity="100.0%" type="solid"/>
  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Normal.0"/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rFonts w:ascii="Times New Roman" w:hAnsi="Times New Roman" w:hint="default"/>
                          <w:sz w:val="28"/>
                          <w:szCs w:val="28"/>
                          <w:rtl w:val="0"/>
                          <w:lang w:val="ru-RU"/>
                        </w:rPr>
                        <w:t xml:space="preserve">Улучшение средств администрирования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rtl w:val="0"/>
                          <w:lang w:val="ru-RU"/>
                        </w:rPr>
                        <w:t>(</w:t>
                      </w:r>
                      <w:r>
                        <w:rPr>
                          <w:rFonts w:ascii="Times New Roman" w:hAnsi="Times New Roman" w:hint="default"/>
                          <w:sz w:val="28"/>
                          <w:szCs w:val="28"/>
                          <w:rtl w:val="0"/>
                          <w:lang w:val="ru-RU"/>
                        </w:rPr>
                        <w:t>установка бесплатного и более мощного диспетчера задач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rtl w:val="0"/>
                          <w:lang w:val="ru-RU"/>
                        </w:rPr>
                        <w:t>)</w:t>
                      </w:r>
                    </w:p>
                  </w:txbxContent>
                </v:textbox>
                <w10:wrap type="none" side="bothSides" anchorx="text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6432" behindDoc="0" locked="0" layoutInCell="1" allowOverlap="1">
                <wp:simplePos x="0" y="0"/>
                <wp:positionH relativeFrom="column">
                  <wp:posOffset>2125980</wp:posOffset>
                </wp:positionH>
                <wp:positionV relativeFrom="line">
                  <wp:posOffset>5574029</wp:posOffset>
                </wp:positionV>
                <wp:extent cx="3443605" cy="498475"/>
                <wp:effectExtent l="0" t="0" r="0" b="0"/>
                <wp:wrapNone/>
                <wp:docPr id="1073741881" name="officeArt object" descr="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3605" cy="49847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Normal.0"/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rFonts w:ascii="Times New Roman" w:hAnsi="Times New Roman" w:hint="default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Установка антивирусных средств защиты</w:t>
                            </w:r>
                          </w:p>
                        </w:txbxContent>
                      </wps:txbx>
                      <wps:bodyPr wrap="square" lIns="45719" tIns="45719" rIns="45719" bIns="45719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1" type="#_x0000_t202" style="visibility:visible;position:absolute;margin-left:167.4pt;margin-top:438.9pt;width:271.1pt;height:39.2pt;z-index:251666432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D9D9D9" opacity="100.0%" type="solid"/>
  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Normal.0"/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rFonts w:ascii="Times New Roman" w:hAnsi="Times New Roman" w:hint="default"/>
                          <w:sz w:val="28"/>
                          <w:szCs w:val="28"/>
                          <w:rtl w:val="0"/>
                          <w:lang w:val="ru-RU"/>
                        </w:rPr>
                        <w:t>Установка антивирусных средств защиты</w:t>
                      </w:r>
                    </w:p>
                  </w:txbxContent>
                </v:textbox>
                <w10:wrap type="none" side="bothSides" anchorx="text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column">
                  <wp:posOffset>2125980</wp:posOffset>
                </wp:positionH>
                <wp:positionV relativeFrom="line">
                  <wp:posOffset>4671059</wp:posOffset>
                </wp:positionV>
                <wp:extent cx="3443605" cy="748031"/>
                <wp:effectExtent l="0" t="0" r="0" b="0"/>
                <wp:wrapNone/>
                <wp:docPr id="1073741882" name="officeArt object" descr="Поле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3605" cy="748031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Normal.0"/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rFonts w:ascii="Times New Roman" w:hAnsi="Times New Roman" w:hint="default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Настройка системы защиты от несанкционированного доступа к данным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hint="default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встроенной в операционную систему</w:t>
                            </w:r>
                          </w:p>
                        </w:txbxContent>
                      </wps:txbx>
                      <wps:bodyPr wrap="square" lIns="45719" tIns="45719" rIns="45719" bIns="45719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2" type="#_x0000_t202" style="visibility:visible;position:absolute;margin-left:167.4pt;margin-top:367.8pt;width:271.1pt;height:58.9pt;z-index:25166540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D9D9D9" opacity="100.0%" type="solid"/>
  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Normal.0"/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rFonts w:ascii="Times New Roman" w:hAnsi="Times New Roman" w:hint="default"/>
                          <w:sz w:val="28"/>
                          <w:szCs w:val="28"/>
                          <w:rtl w:val="0"/>
                          <w:lang w:val="ru-RU"/>
                        </w:rPr>
                        <w:t>Настройка системы защиты от несанкционированного доступа к данным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rtl w:val="0"/>
                          <w:lang w:val="ru-RU"/>
                        </w:rPr>
                        <w:t xml:space="preserve">, </w:t>
                      </w:r>
                      <w:r>
                        <w:rPr>
                          <w:rFonts w:ascii="Times New Roman" w:hAnsi="Times New Roman" w:hint="default"/>
                          <w:sz w:val="28"/>
                          <w:szCs w:val="28"/>
                          <w:rtl w:val="0"/>
                          <w:lang w:val="ru-RU"/>
                        </w:rPr>
                        <w:t>встроенной в операционную систему</w:t>
                      </w:r>
                    </w:p>
                  </w:txbxContent>
                </v:textbox>
                <w10:wrap type="none" side="bothSides" anchorx="text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line">
                  <wp:posOffset>538479</wp:posOffset>
                </wp:positionV>
                <wp:extent cx="1781175" cy="2802256"/>
                <wp:effectExtent l="0" t="0" r="0" b="0"/>
                <wp:wrapNone/>
                <wp:docPr id="1073741883" name="officeArt object" descr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28022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Normal.0"/>
                              <w:ind w:firstLine="0"/>
                              <w:jc w:val="center"/>
                            </w:pPr>
                            <w:r>
                              <w:rPr>
                                <w:rFonts w:ascii="Times New Roman" w:hAnsi="Times New Roman" w:hint="default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Аппаратные средства защиты информации</w:t>
                            </w:r>
                          </w:p>
                        </w:txbxContent>
                      </wps:txbx>
                      <wps:bodyPr wrap="square" lIns="45719" tIns="45719" rIns="45719" bIns="45719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3" type="#_x0000_t202" style="visibility:visible;position:absolute;margin-left:10.3pt;margin-top:42.4pt;width:140.2pt;height:220.7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Normal.0"/>
                        <w:ind w:firstLine="0"/>
                        <w:jc w:val="center"/>
                      </w:pPr>
                      <w:r>
                        <w:rPr>
                          <w:rFonts w:ascii="Times New Roman" w:hAnsi="Times New Roman" w:hint="default"/>
                          <w:sz w:val="28"/>
                          <w:szCs w:val="28"/>
                          <w:rtl w:val="0"/>
                          <w:lang w:val="ru-RU"/>
                        </w:rPr>
                        <w:t>Аппаратные средства защиты информации</w:t>
                      </w:r>
                    </w:p>
                  </w:txbxContent>
                </v:textbox>
                <w10:wrap type="none" side="bothSides" anchorx="text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column">
                  <wp:posOffset>2125980</wp:posOffset>
                </wp:positionH>
                <wp:positionV relativeFrom="line">
                  <wp:posOffset>2353945</wp:posOffset>
                </wp:positionV>
                <wp:extent cx="3443605" cy="985520"/>
                <wp:effectExtent l="0" t="0" r="0" b="0"/>
                <wp:wrapNone/>
                <wp:docPr id="1073741884" name="officeArt object" descr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3605" cy="9855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Normal.0"/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rFonts w:ascii="Times New Roman" w:hAnsi="Times New Roman" w:hint="default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 xml:space="preserve">Организация защиты от утери информации вследствие сбоя в электросети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hint="default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установка источников бесперебойного питания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45719" tIns="45719" rIns="45719" bIns="45719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4" type="#_x0000_t202" style="visibility:visible;position:absolute;margin-left:167.4pt;margin-top:185.4pt;width:271.1pt;height:77.6pt;z-index:251663360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D9D9D9" opacity="100.0%" type="solid"/>
  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Normal.0"/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rFonts w:ascii="Times New Roman" w:hAnsi="Times New Roman" w:hint="default"/>
                          <w:sz w:val="28"/>
                          <w:szCs w:val="28"/>
                          <w:rtl w:val="0"/>
                          <w:lang w:val="ru-RU"/>
                        </w:rPr>
                        <w:t xml:space="preserve">Организация защиты от утери информации вследствие сбоя в электросети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rtl w:val="0"/>
                          <w:lang w:val="ru-RU"/>
                        </w:rPr>
                        <w:t>(</w:t>
                      </w:r>
                      <w:r>
                        <w:rPr>
                          <w:rFonts w:ascii="Times New Roman" w:hAnsi="Times New Roman" w:hint="default"/>
                          <w:sz w:val="28"/>
                          <w:szCs w:val="28"/>
                          <w:rtl w:val="0"/>
                          <w:lang w:val="ru-RU"/>
                        </w:rPr>
                        <w:t>установка источников бесперебойного питания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rtl w:val="0"/>
                          <w:lang w:val="ru-RU"/>
                        </w:rPr>
                        <w:t>)</w:t>
                      </w:r>
                    </w:p>
                  </w:txbxContent>
                </v:textbox>
                <w10:wrap type="none" side="bothSides" anchorx="text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column">
                  <wp:posOffset>2125980</wp:posOffset>
                </wp:positionH>
                <wp:positionV relativeFrom="line">
                  <wp:posOffset>3721100</wp:posOffset>
                </wp:positionV>
                <wp:extent cx="3443605" cy="795656"/>
                <wp:effectExtent l="0" t="0" r="0" b="0"/>
                <wp:wrapNone/>
                <wp:docPr id="1073741885" name="officeArt object" descr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3605" cy="7956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Normal.0"/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hint="default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 xml:space="preserve">Шифрование хранимых данных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hint="default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создание или приобретение программных средств шифрования данных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45719" tIns="45719" rIns="45719" bIns="45719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5" type="#_x0000_t202" style="visibility:visible;position:absolute;margin-left:167.4pt;margin-top:293.0pt;width:271.1pt;height:62.7pt;z-index:25166438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Normal.0"/>
                        <w:spacing w:line="240" w:lineRule="auto"/>
                        <w:jc w:val="center"/>
                      </w:pPr>
                      <w:r>
                        <w:rPr>
                          <w:rFonts w:ascii="Times New Roman" w:hAnsi="Times New Roman" w:hint="default"/>
                          <w:sz w:val="28"/>
                          <w:szCs w:val="28"/>
                          <w:rtl w:val="0"/>
                          <w:lang w:val="ru-RU"/>
                        </w:rPr>
                        <w:t xml:space="preserve">Шифрование хранимых данных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rtl w:val="0"/>
                          <w:lang w:val="ru-RU"/>
                        </w:rPr>
                        <w:t>(</w:t>
                      </w:r>
                      <w:r>
                        <w:rPr>
                          <w:rFonts w:ascii="Times New Roman" w:hAnsi="Times New Roman" w:hint="default"/>
                          <w:sz w:val="28"/>
                          <w:szCs w:val="28"/>
                          <w:rtl w:val="0"/>
                          <w:lang w:val="ru-RU"/>
                        </w:rPr>
                        <w:t>создание или приобретение программных средств шифрования данных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rtl w:val="0"/>
                          <w:lang w:val="ru-RU"/>
                        </w:rPr>
                        <w:t>)</w:t>
                      </w:r>
                    </w:p>
                  </w:txbxContent>
                </v:textbox>
                <w10:wrap type="none" side="bothSides" anchorx="text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column">
                  <wp:posOffset>2125980</wp:posOffset>
                </wp:positionH>
                <wp:positionV relativeFrom="line">
                  <wp:posOffset>1250950</wp:posOffset>
                </wp:positionV>
                <wp:extent cx="3443605" cy="974089"/>
                <wp:effectExtent l="0" t="0" r="0" b="0"/>
                <wp:wrapNone/>
                <wp:docPr id="1073741886" name="officeArt object" descr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3605" cy="974089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Normal.0"/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rFonts w:ascii="Times New Roman" w:hAnsi="Times New Roman" w:hint="default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 xml:space="preserve">Организация физической охраны информации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hint="default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установка камер слежения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hint="default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программирование индивидуальных смарт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hint="default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карт сотрудников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45719" tIns="45719" rIns="45719" bIns="45719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6" type="#_x0000_t202" style="visibility:visible;position:absolute;margin-left:167.4pt;margin-top:98.5pt;width:271.1pt;height:76.7pt;z-index:251662336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D9D9D9" opacity="100.0%" type="solid"/>
  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Normal.0"/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rFonts w:ascii="Times New Roman" w:hAnsi="Times New Roman" w:hint="default"/>
                          <w:sz w:val="28"/>
                          <w:szCs w:val="28"/>
                          <w:rtl w:val="0"/>
                          <w:lang w:val="ru-RU"/>
                        </w:rPr>
                        <w:t xml:space="preserve">Организация физической охраны информации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rtl w:val="0"/>
                          <w:lang w:val="ru-RU"/>
                        </w:rPr>
                        <w:t>(</w:t>
                      </w:r>
                      <w:r>
                        <w:rPr>
                          <w:rFonts w:ascii="Times New Roman" w:hAnsi="Times New Roman" w:hint="default"/>
                          <w:sz w:val="28"/>
                          <w:szCs w:val="28"/>
                          <w:rtl w:val="0"/>
                          <w:lang w:val="ru-RU"/>
                        </w:rPr>
                        <w:t>установка камер слежения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rtl w:val="0"/>
                          <w:lang w:val="ru-RU"/>
                        </w:rPr>
                        <w:t xml:space="preserve">, </w:t>
                      </w:r>
                      <w:r>
                        <w:rPr>
                          <w:rFonts w:ascii="Times New Roman" w:hAnsi="Times New Roman" w:hint="default"/>
                          <w:sz w:val="28"/>
                          <w:szCs w:val="28"/>
                          <w:rtl w:val="0"/>
                          <w:lang w:val="ru-RU"/>
                        </w:rPr>
                        <w:t>программирование индивидуальных смарт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rtl w:val="0"/>
                          <w:lang w:val="ru-RU"/>
                        </w:rPr>
                        <w:t>-</w:t>
                      </w:r>
                      <w:r>
                        <w:rPr>
                          <w:rFonts w:ascii="Times New Roman" w:hAnsi="Times New Roman" w:hint="default"/>
                          <w:sz w:val="28"/>
                          <w:szCs w:val="28"/>
                          <w:rtl w:val="0"/>
                          <w:lang w:val="ru-RU"/>
                        </w:rPr>
                        <w:t>карт сотрудников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rtl w:val="0"/>
                          <w:lang w:val="ru-RU"/>
                        </w:rPr>
                        <w:t>)</w:t>
                      </w:r>
                    </w:p>
                  </w:txbxContent>
                </v:textbox>
                <w10:wrap type="none" side="bothSides" anchorx="text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2125979</wp:posOffset>
                </wp:positionH>
                <wp:positionV relativeFrom="line">
                  <wp:posOffset>538480</wp:posOffset>
                </wp:positionV>
                <wp:extent cx="3443605" cy="557530"/>
                <wp:effectExtent l="0" t="0" r="0" b="0"/>
                <wp:wrapNone/>
                <wp:docPr id="1073741887" name="officeArt object" descr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3605" cy="557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Normal.0"/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rFonts w:ascii="Times New Roman" w:hAnsi="Times New Roman" w:hint="default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 xml:space="preserve">Организация защиты локальной сети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hint="default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установка аппаратных фильтров трафика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45719" tIns="45719" rIns="45719" bIns="45719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7" type="#_x0000_t202" style="visibility:visible;position:absolute;margin-left:167.4pt;margin-top:42.4pt;width:271.1pt;height:43.9pt;z-index:251661312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Normal.0"/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rFonts w:ascii="Times New Roman" w:hAnsi="Times New Roman" w:hint="default"/>
                          <w:sz w:val="28"/>
                          <w:szCs w:val="28"/>
                          <w:rtl w:val="0"/>
                          <w:lang w:val="ru-RU"/>
                        </w:rPr>
                        <w:t xml:space="preserve">Организация защиты локальной сети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rtl w:val="0"/>
                          <w:lang w:val="ru-RU"/>
                        </w:rPr>
                        <w:t>(</w:t>
                      </w:r>
                      <w:r>
                        <w:rPr>
                          <w:rFonts w:ascii="Times New Roman" w:hAnsi="Times New Roman" w:hint="default"/>
                          <w:sz w:val="28"/>
                          <w:szCs w:val="28"/>
                          <w:rtl w:val="0"/>
                          <w:lang w:val="ru-RU"/>
                        </w:rPr>
                        <w:t>установка аппаратных фильтров трафика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rtl w:val="0"/>
                          <w:lang w:val="ru-RU"/>
                        </w:rPr>
                        <w:t>)</w:t>
                      </w:r>
                    </w:p>
                  </w:txbxContent>
                </v:textbox>
                <w10:wrap type="none" side="bothSides" anchorx="text"/>
              </v:shape>
            </w:pict>
          </mc:Fallback>
        </mc:AlternateContent>
      </w:r>
      <w:r>
        <mc:AlternateContent>
          <mc:Choice Requires="wps">
            <w:drawing>
              <wp:inline distT="0" distB="0" distL="0" distR="0">
                <wp:extent cx="5286375" cy="7113269"/>
                <wp:effectExtent l="0" t="0" r="0" b="0"/>
                <wp:docPr id="1073741888" name="officeArt object" descr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6375" cy="71132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Normal.0"/>
                              <w:ind w:firstLine="0"/>
                              <w:jc w:val="center"/>
                            </w:pPr>
                            <w:r>
                              <w:rPr>
                                <w:rFonts w:ascii="Times New Roman" w:hAnsi="Times New Roman" w:hint="default"/>
                                <w:b w:val="1"/>
                                <w:bCs w:val="1"/>
                                <w:sz w:val="28"/>
                                <w:szCs w:val="28"/>
                                <w:rtl w:val="0"/>
                                <w:lang w:val="ru-RU"/>
                              </w:rPr>
                              <w:t>Система защиты против хищения и утери информации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88" type="#_x0000_t202" style="visibility:visible;width:416.2pt;height:560.1pt;">
                <v:fill color="#FFFFFF" opacity="100.0%" type="solid"/>
  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Normal.0"/>
                        <w:ind w:firstLine="0"/>
                        <w:jc w:val="center"/>
                      </w:pPr>
                      <w:r>
                        <w:rPr>
                          <w:rFonts w:ascii="Times New Roman" w:hAnsi="Times New Roman" w:hint="default"/>
                          <w:b w:val="1"/>
                          <w:bCs w:val="1"/>
                          <w:sz w:val="28"/>
                          <w:szCs w:val="28"/>
                          <w:rtl w:val="0"/>
                          <w:lang w:val="ru-RU"/>
                        </w:rPr>
                        <w:t>Система защиты против хищения и утери информации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TNR 14 1.5"/>
      </w:pPr>
      <w:r>
        <w:rPr>
          <w:rtl w:val="0"/>
          <w:lang w:val="ru-RU"/>
        </w:rPr>
        <w:t xml:space="preserve">Рисунок </w:t>
      </w:r>
      <w:r>
        <w:rPr>
          <w:rtl w:val="0"/>
          <w:lang w:val="ru-RU"/>
        </w:rPr>
        <w:t xml:space="preserve">3 - </w:t>
      </w:r>
      <w:r>
        <w:rPr>
          <w:rtl w:val="0"/>
          <w:lang w:val="ru-RU"/>
        </w:rPr>
        <w:t>Комплекс задач по обеспечению защиты информации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heading 1"/>
      </w:pPr>
      <w:bookmarkStart w:name="_Toc7" w:id="7"/>
      <w:r>
        <w:rPr>
          <w:rFonts w:cs="Arial Unicode MS" w:eastAsia="Arial Unicode MS"/>
          <w:rtl w:val="0"/>
          <w:lang w:val="ru-RU"/>
        </w:rPr>
        <w:t>1.4.</w:t>
      </w:r>
      <w:r>
        <w:rPr>
          <w:rFonts w:cs="Arial Unicode MS" w:eastAsia="Arial Unicode MS" w:hint="default"/>
          <w:rtl w:val="0"/>
          <w:lang w:val="ru-RU"/>
        </w:rPr>
        <w:t>Выбор защитных мер</w:t>
      </w:r>
      <w:bookmarkEnd w:id="7"/>
    </w:p>
    <w:p>
      <w:pPr>
        <w:pStyle w:val="heading 1"/>
      </w:pPr>
      <w:bookmarkStart w:name="_Toc8" w:id="8"/>
      <w:r>
        <w:rPr>
          <w:rFonts w:cs="Arial Unicode MS" w:eastAsia="Arial Unicode MS"/>
          <w:rtl w:val="0"/>
          <w:lang w:val="ru-RU"/>
        </w:rPr>
        <w:t>1.4.1.</w:t>
      </w:r>
      <w:r>
        <w:rPr>
          <w:rFonts w:cs="Arial Unicode MS" w:eastAsia="Arial Unicode MS" w:hint="default"/>
          <w:rtl w:val="0"/>
          <w:lang w:val="ru-RU"/>
        </w:rPr>
        <w:t>Выбор организационных мер</w:t>
      </w:r>
      <w:bookmarkEnd w:id="8"/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 проведении выбора стратегии проектирования системы информационной безопасности различаются следующие стратегии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оборонительная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наступательная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упреждающая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Предпочтение в сторону оборонительной стратегии предполагает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при исключении вмешательства в технологию функционирования информационной системы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можно проводить лишь нейтрализацию наиболее опасных угроз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Как правило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это можно достичь путем построения «защитных оболочек»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включающих возможность разработки дополнительных организационных мер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создания программных технологий по разграничению доступа информационным ресурсам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использования технических средств для осуществления контроля помещений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где располагается терминальное и серверное оборудование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Использование наступательной стратегии предполагает возможность активного противодействия наиболее известным угрозам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которые могут оказать влияние на состояние информационной безопасности системы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Наступательная стратегия предполагает необходимость установки дополнительных средств пользовательской аутентификации на программном и аппаратом уровнях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внедрения более современных технологий по резервированию и восстановлению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рост уровня доступности системы с применением систем по горячему и холодному резервированию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Использование упреждающей стратегии предполагает возможность тщательного исследования возможных угроз для систем обработки данных и разработку мероприятий по их нейтрализации еще на этапе проектирования и тестирования системы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Важная часть упреждающей стратегии предполагает необходимость проведения оперативного анализа информации из центров изучения проблем защиты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анализ отечественного и мирового передового опыта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проведение независимого аудита уровня обеспечения защиты информации на предприятиях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Изучение структуры информационной системы службы одного окна показало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что оптимальной стратегией разработки системы информационной безопасности будет являться наступательная стратегия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что предполагает наличие следующих этапов проектирования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внедрение дополнительных средств аутентификации – электронных колючей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разработку дополнительных мер организационного характера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совершенствование системы резервного копирования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совершенствование общей технологии информационной безопасности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Организационные меры защиты информации в службы одного окна включают в себя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документационное оформление процессов защиты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организацию пропускного и внутриобъектового режима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определение ответственности специалистов в рамках нормативных документов в области защиты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организацию защиты от несанкционированного доступа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 целях обеспечения безопасности информации АИС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службы одного окна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принимаются меры правового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организационного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технического и морально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этического характера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Создание нормативно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правовой базы защиты информации осуществляется путем принятия на основе действующего законодательства нормативных актов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регламентирующих правила обращения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выполнения операций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 информацией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Данные нормативные документы определяют перечень прав и обязанностей участников информационных процессов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правил предоставления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технологии обработки данных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правила работы со средствами защиты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также определяют степень ответственности сотрудников за нарушение установленных правил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регламентируют требования к мерам по обеспечению защиты информации организационного и технического характера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Организационные меры защиты – включают мероприятия административного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управленческого характера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соответствии с которыми проводится реализация процессов функционирования системы обработки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использование ее ресурсов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деятельность обслуживающего персонала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также алгоритмы взаимодействия пользователей с системой таким образом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чтобы наиболее эффективно затруднить или исключить вероятность реализации угроз информационной безопасности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hd w:val="clear" w:color="auto" w:fill="ffffff"/>
        <w:tabs>
          <w:tab w:val="left" w:pos="5670"/>
        </w:tabs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Техническая защита информации АИС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службы одного окна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представляет собой процесс комплексного применения технических мер защиты информации от ее утечки по техническим каналам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 несанкционированного доступа к ней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 непредусмотренных технологией обработки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том числе умышленных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воздействий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качестве средств технической защиты применяются также средства контроля эффективности защиты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средств и систем управления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предназначенных для обеспечения защиты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целях обеспечения безопасности информации АИС принимаются меры по предотвращению проникновения нарушителей на объекты защиты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 предотвращению потери информации и функциональности средств АИС в различных ситуациях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К мерам морально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этического характера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призванным повысить эффективность защиты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относятся меры по привитию работникам определенных нравственных норм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Соблюдение этих норм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том числе и не утверждаемых нормативными актами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должно поощряться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повышать авторитет работников и уважение к ним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быть престижным как для работников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 и для трудовых коллективов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Морально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этические нормы могут быть и документально оформленными в виде устава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свода правил или кодекса профессиональной этики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Эти меры должны подкрепляться постоянной работой по созданию и поддержанию здорового морального климата в трудовых коллективах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диплом заголовок 2"/>
      </w:pPr>
      <w:bookmarkStart w:name="_Toc9" w:id="9"/>
      <w:r>
        <w:rPr>
          <w:rFonts w:cs="Arial Unicode MS" w:eastAsia="Arial Unicode MS"/>
          <w:rtl w:val="0"/>
          <w:lang w:val="ru-RU"/>
        </w:rPr>
        <w:t>1.4.2.</w:t>
      </w:r>
      <w:r>
        <w:rPr>
          <w:rFonts w:cs="Arial Unicode MS" w:eastAsia="Arial Unicode MS" w:hint="default"/>
          <w:rtl w:val="0"/>
          <w:lang w:val="ru-RU"/>
        </w:rPr>
        <w:t>Выбор инженерно</w:t>
      </w:r>
      <w:r>
        <w:rPr>
          <w:rFonts w:cs="Arial Unicode MS" w:eastAsia="Arial Unicode MS"/>
          <w:rtl w:val="0"/>
          <w:lang w:val="ru-RU"/>
        </w:rPr>
        <w:t>-</w:t>
      </w:r>
      <w:r>
        <w:rPr>
          <w:rFonts w:cs="Arial Unicode MS" w:eastAsia="Arial Unicode MS" w:hint="default"/>
          <w:rtl w:val="0"/>
          <w:lang w:val="ru-RU"/>
        </w:rPr>
        <w:t>технических мер</w:t>
      </w:r>
      <w:bookmarkEnd w:id="9"/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Рассмотрим более подробно технологию защиты от утечек по техническим каналам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Утечки информации по акустоэлектрическому каналу при использовании вентиляционных коробов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смежных помещений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имеют следующие типы происхождения </w:t>
      </w:r>
      <w:r>
        <w:rPr>
          <w:rFonts w:ascii="Times New Roman" w:hAnsi="Times New Roman"/>
          <w:sz w:val="28"/>
          <w:szCs w:val="28"/>
          <w:rtl w:val="0"/>
          <w:lang w:val="ru-RU"/>
        </w:rPr>
        <w:t>[8]:</w:t>
      </w:r>
    </w:p>
    <w:p>
      <w:pPr>
        <w:pStyle w:val="Normal.0"/>
        <w:numPr>
          <w:ilvl w:val="0"/>
          <w:numId w:val="12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Воздушный шум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Потоки воздуха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которые проходят каналами вентиляции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делают это с разной скоростью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Но поскольку это происходит принудительно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то и скорость прохода воздуха является значительной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Такой воздушный шум всегда неизбежен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но его уровень можно снизить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хоть и незначительно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numPr>
          <w:ilvl w:val="0"/>
          <w:numId w:val="12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Вибрационный шум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Если детали вентиляции ненадежно закреплены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то такой шум является обязательным следствием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Плохое качество монтажа системы приведет к тому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по стенкам шахт вентиляции будет проходить назойливый гул вибрации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Особенно это важно в местах фиксирования вентиляторов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numPr>
          <w:ilvl w:val="0"/>
          <w:numId w:val="12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Генерирующий шум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Такой вид шума возникает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когда система вентиляции имеет сложные повороты или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например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специфическую конструкцию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Турбулентность малого типа создает шум с характерным звуком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часто или даже всегда являющимся очень раздражительным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44"/>
          <w:szCs w:val="44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Системы защиты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применяются при защите помещений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предназначенных для проведения конфиденциальных мероприятий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 съема информации через оконные стекла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двери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системы вентиляции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трубы отопления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Системы защиты по акустоэлектрическому каналу защиты позволяют предотвратить утечку информации посредством возможного прослушивания с применением проводных микрофонов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звукозаписывающей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радиомикрофонов и электронных стетоскопов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лазерного съема акустической информации с оконных стекол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Предотвращение прослушивания можно осуществить с использованием шумовых колебаний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внесенных в конструктивные элементы здания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Архитектура защиты по акустоэлектрическому каналу помещений предполагает использование генераторов белого или розового шумов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также технологий вибрационного зашумления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что предполагает наличие электромагнитных и пьезоэлектрических вибропреобразователей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основе пьезокерамики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Для активной защиты воздушных каналов используются системы виброзашумления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 выходам которых производится подключение громкоговорителей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Защита от перехвата информации по защиты по акустоэлектрическому каналу предполагает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установку генераторов помех для защиты от несанкционированно установленных просылушивающих устройств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внесение помех в среду передачи данных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рис</w:t>
      </w:r>
      <w:r>
        <w:rPr>
          <w:rFonts w:ascii="Times New Roman" w:hAnsi="Times New Roman"/>
          <w:sz w:val="28"/>
          <w:szCs w:val="28"/>
          <w:rtl w:val="0"/>
          <w:lang w:val="ru-RU"/>
        </w:rPr>
        <w:t>.4).</w:t>
      </w:r>
    </w:p>
    <w:p>
      <w:pPr>
        <w:pStyle w:val="Normal.0"/>
        <w:jc w:val="both"/>
      </w:pPr>
      <w:r>
        <w:drawing>
          <wp:inline distT="0" distB="0" distL="0" distR="0">
            <wp:extent cx="5096510" cy="2059305"/>
            <wp:effectExtent l="0" t="0" r="0" b="0"/>
            <wp:docPr id="1073741889" name="officeArt object" descr="http://www.vrsystems.ru/stati/images/texnicheskie_kanali_utechki_akusticheskoi%28rechevoi%29_infor_10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89" name="http://www.vrsystems.ru/stati/images/texnicheskie_kanali_utechki_akusticheskoi%28rechevoi%29_infor_10.gif" descr="http://www.vrsystems.ru/stati/images/texnicheskie_kanali_utechki_akusticheskoi%28rechevoi%29_infor_10.gif"/>
                    <pic:cNvPicPr>
                      <a:picLocks noChangeAspect="1"/>
                    </pic:cNvPicPr>
                  </pic:nvPicPr>
                  <pic:blipFill>
                    <a:blip r:embed="rId1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205930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tl w:val="0"/>
          <w:lang w:val="ru-RU"/>
        </w:rPr>
        <w:t xml:space="preserve"> </w:t>
      </w:r>
    </w:p>
    <w:p>
      <w:pPr>
        <w:pStyle w:val="TNR 14 1.5"/>
      </w:pPr>
      <w:r>
        <w:rPr>
          <w:rtl w:val="0"/>
          <w:lang w:val="ru-RU"/>
        </w:rPr>
        <w:t xml:space="preserve">Рисунок </w:t>
      </w:r>
      <w:r>
        <w:rPr>
          <w:rtl w:val="0"/>
          <w:lang w:val="ru-RU"/>
        </w:rPr>
        <w:t xml:space="preserve">4 - </w:t>
      </w:r>
      <w:r>
        <w:rPr>
          <w:rtl w:val="0"/>
          <w:lang w:val="ru-RU"/>
        </w:rPr>
        <w:t>Принципиальная схема технологии внесения помех в среде распространения сигнала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Организация защиты по акустоэлектрическому каналу предполагает необходимость периодического проведения осмотров помещений на предмет установки подслушивающих устройств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Для определения требований по защите акустической конфиденциальной информации в помещениях предприятия необходимо определить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какими методическими документами необходимо пользоваться при разработке технического задания системы защиты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Для этого используем нормативно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методические документы ФСТЭК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регламентирующие требования по защите акустической конфиденциальной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качестве организационных мер по защите от утечек по техническим каналам следует определить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указание в договоре ответственности обслуживающих организаций за обнаруженные подслушивающие устройства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регламентация использования сотрудниками устройств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содержащих устройства записи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периодическое проведение аудита системы информационной безопасности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200" w:line="276" w:lineRule="auto"/>
        <w:ind w:firstLine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hd w:val="clear" w:color="auto" w:fill="ffffff"/>
        </w:rPr>
        <w:br w:type="page"/>
      </w:r>
    </w:p>
    <w:p>
      <w:pPr>
        <w:pStyle w:val="heading 1"/>
        <w:jc w:val="both"/>
        <w:rPr>
          <w:shd w:val="clear" w:color="auto" w:fill="ffffff"/>
        </w:rPr>
      </w:pPr>
      <w:bookmarkStart w:name="_Toc10" w:id="10"/>
      <w:r>
        <w:rPr>
          <w:shd w:val="clear" w:color="auto" w:fill="ffffff"/>
          <w:rtl w:val="0"/>
          <w:lang w:val="ru-RU"/>
        </w:rPr>
        <w:t xml:space="preserve">Глава </w:t>
      </w:r>
      <w:r>
        <w:rPr>
          <w:shd w:val="clear" w:color="auto" w:fill="ffffff"/>
          <w:rtl w:val="0"/>
          <w:lang w:val="ru-RU"/>
        </w:rPr>
        <w:t xml:space="preserve">2. </w:t>
      </w:r>
      <w:r>
        <w:rPr>
          <w:shd w:val="clear" w:color="auto" w:fill="ffffff"/>
          <w:rtl w:val="0"/>
          <w:lang w:val="ru-RU"/>
        </w:rPr>
        <w:t>Аналитическая часть</w:t>
      </w:r>
      <w:bookmarkEnd w:id="10"/>
    </w:p>
    <w:p>
      <w:pPr>
        <w:pStyle w:val="диплом заголовок 2"/>
        <w:rPr>
          <w:shd w:val="clear" w:color="auto" w:fill="ffffff"/>
        </w:rPr>
      </w:pPr>
      <w:bookmarkStart w:name="_Toc11" w:id="11"/>
      <w:r>
        <w:rPr>
          <w:rFonts w:cs="Arial Unicode MS" w:eastAsia="Arial Unicode MS"/>
          <w:shd w:val="clear" w:color="auto" w:fill="ffffff"/>
          <w:rtl w:val="0"/>
          <w:lang w:val="ru-RU"/>
        </w:rPr>
        <w:t xml:space="preserve">2.1. </w:t>
      </w:r>
      <w:r>
        <w:rPr>
          <w:rFonts w:cs="Arial Unicode MS" w:eastAsia="Arial Unicode MS" w:hint="default"/>
          <w:shd w:val="clear" w:color="auto" w:fill="ffffff"/>
          <w:rtl w:val="0"/>
          <w:lang w:val="ru-RU"/>
        </w:rPr>
        <w:t xml:space="preserve">Обоснование комплекса мер обеспечения информационной безопасности и защиты информации объекта </w:t>
      </w:r>
      <w:bookmarkEnd w:id="11"/>
    </w:p>
    <w:p>
      <w:pPr>
        <w:pStyle w:val="heading 1"/>
        <w:jc w:val="both"/>
      </w:pPr>
      <w:bookmarkStart w:name="_Toc12" w:id="12"/>
      <w:r>
        <w:rPr>
          <w:rtl w:val="0"/>
          <w:lang w:val="ru-RU"/>
        </w:rPr>
        <w:t xml:space="preserve">2.1.1. </w:t>
      </w:r>
      <w:r>
        <w:rPr>
          <w:rtl w:val="0"/>
          <w:lang w:val="ru-RU"/>
        </w:rPr>
        <w:t>Отечественная и международная нормативно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правовая основа создания системы обеспечения информационной безопасности и защиты информации предприятия</w:t>
      </w:r>
      <w:bookmarkEnd w:id="12"/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Проведём анализ нормативной базы систем информационной безопасности применительно к объектам защиты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Развитие информационных технологий предполагает возможности для утечек больших массивов данных по определенной тематике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включая данные персонифицированного характера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Используемые в настоящее время носители информации малогабаритны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но при этом позволяют сохранять на них значительные объемы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Таким образом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 использовании информации конфиденциального характера необходимо учитывать возможность их несанкционированного копирования и принимать превентивные меры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Нормативная база технологии защиты информации включает в себя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нормы федерального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указы Президента Российской Федерации и постановления Правительства РФ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также регламентирующие документы федеральных структур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регулирующих технологии безопасности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Основные нормативные акты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регулирующие вопросы обеспечения защиты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включают в себя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Конституцию Российской Федерации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Законодательство о персональных данных </w:t>
      </w:r>
      <w:r>
        <w:rPr>
          <w:rFonts w:ascii="Times New Roman" w:hAnsi="Times New Roman"/>
          <w:sz w:val="28"/>
          <w:szCs w:val="28"/>
          <w:rtl w:val="0"/>
          <w:lang w:val="ru-RU"/>
        </w:rPr>
        <w:t>(152-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ФЗ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27.07.2006);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Федеральный закон об информации информационных технологиях и о защите информации </w:t>
      </w:r>
      <w:r>
        <w:rPr>
          <w:rFonts w:ascii="Times New Roman" w:hAnsi="Times New Roman"/>
          <w:sz w:val="28"/>
          <w:szCs w:val="28"/>
          <w:rtl w:val="0"/>
          <w:lang w:val="ru-RU"/>
        </w:rPr>
        <w:t>(149-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ФЗ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27.07.2006);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Федеральный закон об электронной подписи </w:t>
      </w:r>
      <w:r>
        <w:rPr>
          <w:rFonts w:ascii="Times New Roman" w:hAnsi="Times New Roman"/>
          <w:sz w:val="28"/>
          <w:szCs w:val="28"/>
          <w:rtl w:val="0"/>
          <w:lang w:val="ru-RU"/>
        </w:rPr>
        <w:t>(63-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ФЗ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06.04.2011);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регламентирующие документы федеральных служб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Определение термина «защита информации»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приводится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информационных технологиях и защите информации» </w:t>
      </w:r>
      <w:r>
        <w:rPr>
          <w:rFonts w:ascii="Times New Roman" w:hAnsi="Times New Roman"/>
          <w:sz w:val="28"/>
          <w:szCs w:val="28"/>
          <w:rtl w:val="0"/>
          <w:lang w:val="ru-RU"/>
        </w:rPr>
        <w:t>(149-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ФЗ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27.07.2006):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Обеспечение информационной безопасности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предполагает необходимость проведения правовых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организационных и технических мероприятий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предполагающих решение вопросов в областях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1)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обеспечения защиты информации от несанкционированного доступа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препятствие уничтожению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модифицированию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блокированию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копированию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предоставлению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распространению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также иных неправомерных действий в отношении защищаемой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2)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соблюдения требований к конфиденциальности данным ограниченного доступа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3)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реализации права на доступ к информации»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Обеспечение информационной безопасности предполагает учет всех аспектов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связанных с проведением определения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достижения и поддержания конфиденциальности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целостности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неотказуемости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доступности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аутентичности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подотчетности и достоверности информации и средств ее обработки </w:t>
      </w:r>
      <w:r>
        <w:rPr>
          <w:rFonts w:ascii="Times New Roman" w:hAnsi="Times New Roman"/>
          <w:sz w:val="28"/>
          <w:szCs w:val="28"/>
          <w:rtl w:val="0"/>
          <w:lang w:val="ru-RU"/>
        </w:rPr>
        <w:t>[2].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Согласно </w:t>
      </w:r>
      <w:r>
        <w:rPr>
          <w:rFonts w:ascii="Times New Roman" w:hAnsi="Times New Roman"/>
          <w:sz w:val="28"/>
          <w:szCs w:val="28"/>
          <w:rtl w:val="0"/>
          <w:lang w:val="ru-RU"/>
        </w:rPr>
        <w:t>149-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информация классифицируется на типы </w:t>
      </w:r>
      <w:r>
        <w:rPr>
          <w:rFonts w:ascii="Times New Roman" w:hAnsi="Times New Roman"/>
          <w:sz w:val="28"/>
          <w:szCs w:val="28"/>
          <w:rtl w:val="0"/>
          <w:lang w:val="ru-RU"/>
        </w:rPr>
        <w:t>[23]: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общедоступная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конфиденциальная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информация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относимая к категории «государственная тайна»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Конфиденциальная</w:t>
      </w:r>
      <w:r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информация представляет собой информацию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не отнесенную к категории государственной тайны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доступ к которой ограничивается федеральными нормативно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правовыми актами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К категориям конфиденциальной информации относятся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[13]: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1) 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данные для служебного использования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2) 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данные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относимые к коммерческой тайне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3) 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данные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содержащие персонифицированную информацию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4) 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данные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относимые к категории профессиональной тайны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Каждая из указанных категорий информации подлежит защите согласно правовым нормам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источниками которых являются отраслевые стандарты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Деятельность по обеспечению защиты информации предполагает также мероприятия по защите интеллектуальной собственности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 проблемами обеспечения защиты информации имеют тесную связь юридические аспекты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регламентирующие деятельность в области информационных технологий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которую можно разделить по категориям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[15]: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1) 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использование телекоммуникационных технологий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2)  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работа с криптографическими системами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включающими системы электронного документооборота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3) 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проведение сертификации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лицензирования и аттестации архитектуры информационной безопасности на предприятиях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Также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 работам по обеспечению защиты информации относятся механизмы по применению мер ответственности за нарушения требований законодательства РФ об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информационных технологиях и о защите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Данная деятельность регламентируется на государственном уровне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Таким образом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 обзоре нормативно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правовых актов РФ необходимо отдельное рассмотрение направлений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регламентирующих деятельность в области обработки и защиты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[7]: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1)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общедоступных данных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2)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 элементами коммерческой тайны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3)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служебных данных с ограниченным способом распространения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4)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отнесенной к категории профессиональной тайны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5)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персональным данным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6)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государственной тайне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7)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интеллектуальной собственностью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8)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данных о настройках защиты телекоммуникационных систем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9)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данных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использующих криптографические системы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hd w:val="clear" w:color="auto" w:fill="ffffff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10)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информацию и объекты информатизации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подлежащие лицензированию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сертификации и аттестации объектов и средств защиты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11)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 нарушениях норм законодательства РФ в области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информационных технологиях и о защите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Таким образом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аудит информационной системы в части информационной безопасности заключается в отнесении типа обрабатываемых данных к определенному классу в соответствии с которым выбирается тип защищенности информационной системы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который определяет порядок  организационно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технологических мер применяемых на предприятии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Аудит может осуществляться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сторонними лицензированными организациями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специалистами государственных структур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специалистами подразделения безопасности предприятия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Согласно проведенному исследованию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 результатам аудита информационной системы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службы одного окна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класс информационной системы отнесен к типу 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соответственно требования к информационной безопасности должны быть сопоставлены данному классу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диплом заголовок 2"/>
      </w:pPr>
      <w:bookmarkStart w:name="_Toc13" w:id="13"/>
      <w:r>
        <w:rPr>
          <w:rFonts w:cs="Arial Unicode MS" w:eastAsia="Arial Unicode MS"/>
          <w:rtl w:val="0"/>
          <w:lang w:val="ru-RU"/>
        </w:rPr>
        <w:t xml:space="preserve">2.1.2. </w:t>
      </w:r>
      <w:r>
        <w:rPr>
          <w:rFonts w:cs="Arial Unicode MS" w:eastAsia="Arial Unicode MS" w:hint="default"/>
          <w:shd w:val="clear" w:color="auto" w:fill="ffffff"/>
          <w:rtl w:val="0"/>
          <w:lang w:val="ru-RU"/>
        </w:rPr>
        <w:t>Основные методы и способы технической защиты информации</w:t>
      </w:r>
      <w:r>
        <w:rPr>
          <w:rFonts w:cs="Arial Unicode MS" w:eastAsia="Arial Unicode MS"/>
          <w:shd w:val="clear" w:color="auto" w:fill="ffffff"/>
          <w:rtl w:val="0"/>
          <w:lang w:val="ru-RU"/>
        </w:rPr>
        <w:t xml:space="preserve">, </w:t>
      </w:r>
      <w:r>
        <w:rPr>
          <w:rFonts w:cs="Arial Unicode MS" w:eastAsia="Arial Unicode MS" w:hint="default"/>
          <w:shd w:val="clear" w:color="auto" w:fill="ffffff"/>
          <w:rtl w:val="0"/>
          <w:lang w:val="ru-RU"/>
        </w:rPr>
        <w:t>характеристика номенклатуры применяемых средств защиты информации</w:t>
      </w:r>
      <w:bookmarkEnd w:id="13"/>
    </w:p>
    <w:p>
      <w:pPr>
        <w:pStyle w:val="Normal.0"/>
      </w:pP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соответствии со сформулированными угрозами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подразделениях службы одного окна необходимо принятие организационных мер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определенных в локальных документах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перечень которых приведен в Приложении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4.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Каждому из типов угроз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определенных в п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.2.2,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сопоставлено технологическое решение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подкрепленное документационным обеспечением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Таким образом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подразделениях службы одного окна проведено документационное обеспечение противодействию угрозам конфиденциальности информации при её обработке в автоматизированный информационной системе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В Приложении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приведено распределение обязанностей по специалистам в области информационной безопасности в подразделениях службы одного окна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Для ознакомления пользователей с требованиями защиты информации под роспись предлагаются документы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перечень которых приведен в Приложении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2.</w:t>
      </w:r>
    </w:p>
    <w:p>
      <w:pPr>
        <w:pStyle w:val="Normal.0"/>
        <w:widowControl w:val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Листы ознакомления с данными документами передаются специалисту управления делами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службы одного окна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 приеме на работу специалист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выполняющий работу с конфиденциальными данными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подписывает «Обязательство о неразглашении»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Перечень документов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регламентирующих деятельность службы одного окна в области защиты персональных данных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приведен в Приложении </w:t>
      </w:r>
      <w:r>
        <w:rPr>
          <w:rFonts w:ascii="Times New Roman" w:hAnsi="Times New Roman"/>
          <w:sz w:val="28"/>
          <w:szCs w:val="28"/>
          <w:rtl w:val="0"/>
          <w:lang w:val="ru-RU"/>
        </w:rPr>
        <w:t>1.</w:t>
      </w:r>
    </w:p>
    <w:p>
      <w:pPr>
        <w:pStyle w:val="Normal.0"/>
        <w:widowControl w:val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Ежегодно администраторами защиты информации необходимо проведение обучения пользователей информационной системы технологии работы по соблюдению конфиденциальности информации с использованием программных средств с последующим проведением тестирования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Данные мероприятия регламентируются «Порядком организации занятий с сотрудниками службы одного окна по вопросам защиты информации»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Каждый из информационных ресурсов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содержащих конфиденциальную информацию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имеет следующие документально оформленные степени защиты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парольная защита 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со своевременной актуализацией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возможностью блокировки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);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разграничение уровней доступа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документальное оформление заявок на предоставление доступа к информационным базам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наличие инструкций для уровня пользователя и администратора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протоколирование действий пользователей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Предоставление доступа к информационным ресурсам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содержащим конфиденциальную информацию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оформляется начальником отдела через служебную записку на имя администратора защиты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который в случае нахождения ресурса на уровне подразделения предоставляет доступ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случае нахождения на уровне сторонней организации оформляет заявку в соответствующий профильный отдел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Для каждого из информационных ресурсов разработаны формализованные заявки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 необходимости закрытия доступа аналогично на основании служебной записки начальника отдела составляется заявка на закрытие доступа к информационному ресурсу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Все проведенные мероприятия по защите информации необходимо протоколировать в журналах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Журнал мероприятий по защите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где протоколируются все действия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связанные с проведением работ по защите информации с датой и росписью специалиста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их проводившего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Журнал регистрации нештатных ситуаций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связанных с защитой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куда заносится информация о происшествиях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связанных с нарушениями требований защиты информации и принятых мерах к специалистам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допустившим нарушения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Контроль за организацией обеспечения защиты информации в подразделениях службы одного окна осуществляется в формах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комплексные проверки системы информационной безопасности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периодичность –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4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года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);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выборочные запросы документов в электронном виде администраторов защиты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запросы отчетности по проведенным мероприятиям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диплом заголовок 2"/>
      </w:pPr>
      <w:bookmarkStart w:name="_Toc14" w:id="14"/>
      <w:r>
        <w:rPr>
          <w:rFonts w:cs="Arial Unicode MS" w:eastAsia="Arial Unicode MS"/>
          <w:rtl w:val="0"/>
          <w:lang w:val="ru-RU"/>
        </w:rPr>
        <w:t xml:space="preserve">2.2. </w:t>
      </w:r>
      <w:r>
        <w:rPr>
          <w:rFonts w:cs="Arial Unicode MS" w:eastAsia="Arial Unicode MS" w:hint="default"/>
          <w:rtl w:val="0"/>
          <w:lang w:val="ru-RU"/>
        </w:rPr>
        <w:t>Реализации проекта и его описание согласно руководящим документам</w:t>
      </w:r>
      <w:bookmarkEnd w:id="14"/>
    </w:p>
    <w:p>
      <w:pPr>
        <w:pStyle w:val="диплом заголовок 2"/>
      </w:pPr>
    </w:p>
    <w:p>
      <w:pPr>
        <w:pStyle w:val="TNR 14 1.5"/>
        <w:ind w:firstLine="720"/>
      </w:pPr>
      <w:r>
        <w:rPr>
          <w:rtl w:val="0"/>
          <w:lang w:val="ru-RU"/>
        </w:rPr>
        <w:t xml:space="preserve">В рамках практической части работы для аудита защищенности информационной системы службы одного окна предлагается использование сканера уязвимостей </w:t>
      </w:r>
      <w:r>
        <w:rPr>
          <w:rtl w:val="0"/>
          <w:lang w:val="en-US"/>
        </w:rPr>
        <w:t>Nessus</w:t>
      </w:r>
      <w:r>
        <w:rPr>
          <w:rtl w:val="0"/>
          <w:lang w:val="ru-RU"/>
        </w:rPr>
        <w:t>.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Сканер уязвимостей </w:t>
      </w:r>
      <w:r>
        <w:rPr>
          <w:rtl w:val="0"/>
          <w:lang w:val="ru-RU"/>
        </w:rPr>
        <w:t xml:space="preserve">Nessus </w:t>
      </w:r>
      <w:r>
        <w:rPr>
          <w:rtl w:val="0"/>
          <w:lang w:val="ru-RU"/>
        </w:rPr>
        <w:t xml:space="preserve">является одним из наиболее распространенных программных продуктов в области поиска уязвимостей в информационных системах </w:t>
      </w:r>
      <w:r>
        <w:rPr>
          <w:rtl w:val="0"/>
          <w:lang w:val="ru-RU"/>
        </w:rPr>
        <w:t xml:space="preserve">[2]. </w:t>
      </w:r>
    </w:p>
    <w:p>
      <w:pPr>
        <w:pStyle w:val="TNR 14 1.5"/>
        <w:ind w:firstLine="720"/>
      </w:pPr>
      <w:r>
        <w:rPr>
          <w:rtl w:val="0"/>
          <w:lang w:val="ru-RU"/>
        </w:rPr>
        <w:t>Ключевой особенностью использования приложения является необходимость подключения плагинов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каждый из которых отвечает за поиск уязвимостей определенного типа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Существуют </w:t>
      </w:r>
      <w:r>
        <w:rPr>
          <w:rtl w:val="0"/>
          <w:lang w:val="ru-RU"/>
        </w:rPr>
        <w:t xml:space="preserve">42 </w:t>
      </w:r>
      <w:r>
        <w:rPr>
          <w:rtl w:val="0"/>
          <w:lang w:val="ru-RU"/>
        </w:rPr>
        <w:t>различных типа подключения внешних модулей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для проведения пентеста возможна активация как отдельных плагинов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так и всех плагинов определенного типа </w:t>
      </w: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для проведения всех локальных проверок на системах класса </w:t>
      </w:r>
      <w:r>
        <w:rPr>
          <w:rtl w:val="0"/>
          <w:lang w:val="ru-RU"/>
        </w:rPr>
        <w:t xml:space="preserve">Ubuntu. </w:t>
      </w:r>
      <w:r>
        <w:rPr>
          <w:rtl w:val="0"/>
          <w:lang w:val="ru-RU"/>
        </w:rPr>
        <w:t>Также пользователями системы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имеющими квалификацию в области работы с системами безопасности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возможно написание собственных модулей сканирования</w:t>
      </w:r>
      <w:r>
        <w:rPr>
          <w:rtl w:val="0"/>
          <w:lang w:val="ru-RU"/>
        </w:rPr>
        <w:t>.</w:t>
      </w:r>
    </w:p>
    <w:p>
      <w:pPr>
        <w:pStyle w:val="TNR 14 1.5"/>
      </w:pPr>
      <w:r>
        <w:rPr>
          <w:rtl w:val="0"/>
          <w:lang w:val="ru-RU"/>
        </w:rPr>
        <w:t xml:space="preserve">Основные возможности системы </w:t>
      </w:r>
      <w:r>
        <w:rPr>
          <w:rtl w:val="0"/>
          <w:lang w:val="ru-RU"/>
        </w:rPr>
        <w:t xml:space="preserve">Nessus Professional </w:t>
      </w:r>
      <w:r>
        <w:rPr>
          <w:rtl w:val="0"/>
          <w:lang w:val="ru-RU"/>
        </w:rPr>
        <w:t xml:space="preserve">включают </w:t>
      </w:r>
      <w:r>
        <w:rPr>
          <w:rtl w:val="0"/>
          <w:lang w:val="ru-RU"/>
        </w:rPr>
        <w:t xml:space="preserve">[3]: </w:t>
      </w:r>
    </w:p>
    <w:p>
      <w:pPr>
        <w:pStyle w:val="TNR 14 1.5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наличие большого количества режимов анализа защищенности</w:t>
      </w:r>
      <w:r>
        <w:rPr>
          <w:rtl w:val="0"/>
          <w:lang w:val="ru-RU"/>
        </w:rPr>
        <w:t>;</w:t>
      </w:r>
    </w:p>
    <w:p>
      <w:pPr>
        <w:pStyle w:val="TNR 14 1.5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возможность управления настройками сканирования</w:t>
      </w:r>
      <w:r>
        <w:rPr>
          <w:rtl w:val="0"/>
          <w:lang w:val="ru-RU"/>
        </w:rPr>
        <w:t>;</w:t>
      </w:r>
    </w:p>
    <w:p>
      <w:pPr>
        <w:pStyle w:val="TNR 14 1.5"/>
      </w:pPr>
      <w:r>
        <w:rPr>
          <w:rtl w:val="0"/>
          <w:lang w:val="ru-RU"/>
        </w:rPr>
        <w:t xml:space="preserve">-  </w:t>
      </w:r>
      <w:r>
        <w:rPr>
          <w:rtl w:val="0"/>
          <w:lang w:val="ru-RU"/>
        </w:rPr>
        <w:t>наличие сервиса обновлений программного продукта и базы знаний по уязвимостям</w:t>
      </w:r>
      <w:r>
        <w:rPr>
          <w:rtl w:val="0"/>
          <w:lang w:val="ru-RU"/>
        </w:rPr>
        <w:t>;</w:t>
      </w:r>
    </w:p>
    <w:p>
      <w:pPr>
        <w:pStyle w:val="TNR 14 1.5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Возможность создания отчетности об уязвимостях</w:t>
      </w:r>
      <w:r>
        <w:rPr>
          <w:rtl w:val="0"/>
          <w:lang w:val="ru-RU"/>
        </w:rPr>
        <w:t>.</w:t>
      </w:r>
    </w:p>
    <w:p>
      <w:pPr>
        <w:pStyle w:val="TNR 14 1.5"/>
      </w:pPr>
      <w:r>
        <w:rPr>
          <w:rtl w:val="0"/>
          <w:lang w:val="ru-RU"/>
        </w:rPr>
        <w:t>В системе поддерживается несколько способов сканирования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включающих удаленное и локальное сканирование активов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сканирование с поддержкой аутентификации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автономный аудит конфигурации сетевых устройств </w:t>
      </w:r>
      <w:r>
        <w:rPr>
          <w:rtl w:val="0"/>
          <w:lang w:val="ru-RU"/>
        </w:rPr>
        <w:t xml:space="preserve">[3]: </w:t>
      </w:r>
    </w:p>
    <w:p>
      <w:pPr>
        <w:pStyle w:val="TNR 14 1.5"/>
        <w:numPr>
          <w:ilvl w:val="0"/>
          <w:numId w:val="14"/>
        </w:numPr>
        <w:bidi w:val="0"/>
        <w:ind w:right="0"/>
        <w:jc w:val="both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>Возможности обнаружения и сканирования активов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включающих сетевые устройства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включая брандмауэры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операционные системы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базы данных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веб</w:t>
      </w:r>
      <w:r>
        <w:rPr>
          <w:sz w:val="28"/>
          <w:szCs w:val="28"/>
          <w:rtl w:val="0"/>
          <w:lang w:val="ru-RU"/>
        </w:rPr>
        <w:t>-</w:t>
      </w:r>
      <w:r>
        <w:rPr>
          <w:sz w:val="28"/>
          <w:szCs w:val="28"/>
          <w:rtl w:val="0"/>
          <w:lang w:val="ru-RU"/>
        </w:rPr>
        <w:t>приложения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виртуальные и облачные среды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TNR 14 1.5"/>
        <w:numPr>
          <w:ilvl w:val="0"/>
          <w:numId w:val="14"/>
        </w:numPr>
        <w:bidi w:val="0"/>
        <w:ind w:right="0"/>
        <w:jc w:val="both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>Сервисы сетевого сканирования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Сканирование протоколов </w:t>
      </w:r>
      <w:r>
        <w:rPr>
          <w:sz w:val="28"/>
          <w:szCs w:val="28"/>
          <w:rtl w:val="0"/>
          <w:lang w:val="ru-RU"/>
        </w:rPr>
        <w:t xml:space="preserve">IPv4, IPv6 </w:t>
      </w:r>
      <w:r>
        <w:rPr>
          <w:sz w:val="28"/>
          <w:szCs w:val="28"/>
          <w:rtl w:val="0"/>
          <w:lang w:val="ru-RU"/>
        </w:rPr>
        <w:t>и гибридных сетях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поддерживается возможность запуска задач по расписанию</w:t>
      </w:r>
      <w:r>
        <w:rPr>
          <w:sz w:val="28"/>
          <w:szCs w:val="28"/>
          <w:rtl w:val="0"/>
          <w:lang w:val="ru-RU"/>
        </w:rPr>
        <w:t xml:space="preserve">. </w:t>
      </w:r>
    </w:p>
    <w:p>
      <w:pPr>
        <w:pStyle w:val="TNR 14 1.5"/>
        <w:numPr>
          <w:ilvl w:val="0"/>
          <w:numId w:val="14"/>
        </w:numPr>
        <w:bidi w:val="0"/>
        <w:ind w:right="0"/>
        <w:jc w:val="both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>Возможности сканирования с настройкой времени и частоты запуска</w:t>
      </w:r>
      <w:r>
        <w:rPr>
          <w:sz w:val="28"/>
          <w:szCs w:val="28"/>
          <w:rtl w:val="0"/>
          <w:lang w:val="ru-RU"/>
        </w:rPr>
        <w:t xml:space="preserve">. </w:t>
      </w:r>
    </w:p>
    <w:p>
      <w:pPr>
        <w:pStyle w:val="TNR 14 1.5"/>
        <w:numPr>
          <w:ilvl w:val="0"/>
          <w:numId w:val="14"/>
        </w:numPr>
        <w:bidi w:val="0"/>
        <w:ind w:right="0"/>
        <w:jc w:val="both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 xml:space="preserve">Сканирование сетевых узлов по выборке </w:t>
      </w:r>
    </w:p>
    <w:p>
      <w:pPr>
        <w:pStyle w:val="TNR 14 1.5"/>
        <w:numPr>
          <w:ilvl w:val="0"/>
          <w:numId w:val="14"/>
        </w:numPr>
        <w:bidi w:val="0"/>
        <w:ind w:right="0"/>
        <w:jc w:val="both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>Возможность автоматического анализа результатов сканирования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Выдача рекомендаций по восстановлению и настройке процесса поиска уязвимостей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TNR 14 1.5"/>
      </w:pPr>
      <w:r>
        <w:rPr>
          <w:rtl w:val="0"/>
          <w:lang w:val="ru-RU"/>
        </w:rPr>
        <w:t>В системе имеются возможности автоматической пересылки отчетов ответственным специалистам при обнаружении уязвимостей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 указанием уровня их опасности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формирования отчетности по расписанию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включая отчеты по устранению уязвимостей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Возможность создания отчетности с поддержкой сортировки по видам уязвимостей или хостам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создание аналитического отчета по результатам поиска уязвимостей и состоянию защищенности сети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Поддерживается множество форматов отчетов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включая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встроенные </w:t>
      </w:r>
      <w:r>
        <w:rPr>
          <w:rtl w:val="0"/>
          <w:lang w:val="ru-RU"/>
        </w:rPr>
        <w:t xml:space="preserve">(XML), PDF, CSV </w:t>
      </w:r>
      <w:r>
        <w:rPr>
          <w:rtl w:val="0"/>
          <w:lang w:val="ru-RU"/>
        </w:rPr>
        <w:t xml:space="preserve">и </w:t>
      </w:r>
      <w:r>
        <w:rPr>
          <w:rtl w:val="0"/>
          <w:lang w:val="ru-RU"/>
        </w:rPr>
        <w:t xml:space="preserve">HTML. </w:t>
      </w:r>
      <w:r>
        <w:rPr>
          <w:rtl w:val="0"/>
          <w:lang w:val="ru-RU"/>
        </w:rPr>
        <w:t>Возможна настройка рассылки уведомлений об отправке отчета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 получении или обновлении состояния защищенности сети</w:t>
      </w:r>
      <w:r>
        <w:rPr>
          <w:rtl w:val="0"/>
          <w:lang w:val="ru-RU"/>
        </w:rPr>
        <w:t xml:space="preserve">. </w:t>
      </w:r>
    </w:p>
    <w:p>
      <w:pPr>
        <w:pStyle w:val="TNR 14 1.5"/>
      </w:pPr>
      <w:r>
        <w:rPr>
          <w:rtl w:val="0"/>
          <w:lang w:val="ru-RU"/>
        </w:rPr>
        <w:t>Рассмотрим функционал отдельных плагинов системы</w:t>
      </w:r>
      <w:r>
        <w:rPr>
          <w:rtl w:val="0"/>
          <w:lang w:val="ru-RU"/>
        </w:rPr>
        <w:t>.</w:t>
      </w:r>
    </w:p>
    <w:p>
      <w:pPr>
        <w:pStyle w:val="TNR 14 1.5"/>
        <w:ind w:firstLine="720"/>
        <w:rPr>
          <w:lang w:val="en-US"/>
        </w:rPr>
      </w:pPr>
      <w:r>
        <w:rPr>
          <w:rtl w:val="0"/>
          <w:lang w:val="en-US"/>
        </w:rPr>
        <w:t>1. NASL (Nessus Attack Scripting Language).</w:t>
      </w:r>
    </w:p>
    <w:p>
      <w:pPr>
        <w:pStyle w:val="TNR 14 1.5"/>
        <w:ind w:firstLine="720"/>
      </w:pPr>
      <w:r>
        <w:rPr>
          <w:rtl w:val="0"/>
          <w:lang w:val="ru-RU"/>
        </w:rPr>
        <w:t>Данный плагин имеет раздельные серверную и клиентскую части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В последней </w:t>
      </w:r>
      <w:r>
        <w:rPr>
          <w:rtl w:val="0"/>
          <w:lang w:val="ru-RU"/>
        </w:rPr>
        <w:t xml:space="preserve">4.2 </w:t>
      </w:r>
      <w:r>
        <w:rPr>
          <w:rtl w:val="0"/>
          <w:lang w:val="ru-RU"/>
        </w:rPr>
        <w:t xml:space="preserve">версии агент проводит открытие </w:t>
      </w:r>
      <w:r>
        <w:rPr>
          <w:rtl w:val="0"/>
          <w:lang w:val="en-US"/>
        </w:rPr>
        <w:t>Web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 xml:space="preserve">сервера на </w:t>
      </w:r>
      <w:r>
        <w:rPr>
          <w:rtl w:val="0"/>
          <w:lang w:val="ru-RU"/>
        </w:rPr>
        <w:t xml:space="preserve">8834 </w:t>
      </w:r>
      <w:r>
        <w:rPr>
          <w:rtl w:val="0"/>
          <w:lang w:val="ru-RU"/>
        </w:rPr>
        <w:t>порту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посредством которого возможно управление сканером с использованием  интерфейса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реализованного на </w:t>
      </w:r>
      <w:r>
        <w:rPr>
          <w:rtl w:val="0"/>
          <w:lang w:val="ru-RU"/>
        </w:rPr>
        <w:t xml:space="preserve">Flash, </w:t>
      </w:r>
      <w:r>
        <w:rPr>
          <w:rtl w:val="0"/>
          <w:lang w:val="ru-RU"/>
        </w:rPr>
        <w:t>с использованием  браузера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После установки сканера серверная часть запускается автоматически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При определении типа лицензии система открывает доступные возможности сканирования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по количеству </w:t>
      </w:r>
      <w:r>
        <w:rPr>
          <w:rtl w:val="0"/>
          <w:lang w:val="en-US"/>
        </w:rPr>
        <w:t>IP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адресов и возможным действия с обнаруженными уязвимостями</w:t>
      </w:r>
      <w:r>
        <w:rPr>
          <w:rtl w:val="0"/>
          <w:lang w:val="ru-RU"/>
        </w:rPr>
        <w:t xml:space="preserve">. 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Система администрирования </w:t>
      </w:r>
      <w:r>
        <w:rPr>
          <w:rtl w:val="0"/>
          <w:lang w:val="en-US"/>
        </w:rPr>
        <w:t>Nessus</w:t>
      </w:r>
      <w:r>
        <w:rPr>
          <w:rtl w:val="0"/>
          <w:lang w:val="ru-RU"/>
        </w:rPr>
        <w:t xml:space="preserve"> предлагает создание учетных записей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под которыми выполняются операции сканирование на наличие уязвимостей</w:t>
      </w:r>
      <w:r>
        <w:rPr>
          <w:rtl w:val="0"/>
          <w:lang w:val="ru-RU"/>
        </w:rPr>
        <w:t>.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Любой тест на проникновение начинается с создания так называемых </w:t>
      </w:r>
      <w:r>
        <w:rPr>
          <w:rtl w:val="0"/>
          <w:lang w:val="ru-RU"/>
        </w:rPr>
        <w:t xml:space="preserve">Policies - </w:t>
      </w:r>
      <w:r>
        <w:rPr>
          <w:rtl w:val="0"/>
          <w:lang w:val="ru-RU"/>
        </w:rPr>
        <w:t>правил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соответствии с которыми сканер будет проводить анализ уязвимостей системы</w:t>
      </w:r>
      <w:r>
        <w:rPr>
          <w:rtl w:val="0"/>
          <w:lang w:val="ru-RU"/>
        </w:rPr>
        <w:t>.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При задании правил необходимо указать </w:t>
      </w:r>
      <w:r>
        <w:rPr>
          <w:rtl w:val="0"/>
          <w:lang w:val="ru-RU"/>
        </w:rPr>
        <w:t>[2]: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 xml:space="preserve">виды сканирования портов </w:t>
      </w:r>
      <w:r>
        <w:rPr>
          <w:rtl w:val="0"/>
          <w:lang w:val="ru-RU"/>
        </w:rPr>
        <w:t xml:space="preserve">(TCP Scan, UDP Scan, Syn Scan </w:t>
      </w:r>
      <w:r>
        <w:rPr>
          <w:rtl w:val="0"/>
          <w:lang w:val="ru-RU"/>
        </w:rPr>
        <w:t>и т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д</w:t>
      </w:r>
      <w:r>
        <w:rPr>
          <w:rtl w:val="0"/>
          <w:lang w:val="ru-RU"/>
        </w:rPr>
        <w:t>.);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количество одновременных подключений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а также типичные для </w:t>
      </w:r>
      <w:r>
        <w:rPr>
          <w:rtl w:val="0"/>
          <w:lang w:val="ru-RU"/>
        </w:rPr>
        <w:t xml:space="preserve">Nessus </w:t>
      </w:r>
      <w:r>
        <w:rPr>
          <w:rtl w:val="0"/>
          <w:lang w:val="ru-RU"/>
        </w:rPr>
        <w:t>настройки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 xml:space="preserve">, Safe Checks. </w:t>
      </w:r>
      <w:r>
        <w:rPr>
          <w:rtl w:val="0"/>
          <w:lang w:val="ru-RU"/>
        </w:rPr>
        <w:t>Последняя включает безопасное сканирование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деактивируя плагины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которые могут нанести вред сканируемой системе</w:t>
      </w:r>
      <w:r>
        <w:rPr>
          <w:rtl w:val="0"/>
          <w:lang w:val="ru-RU"/>
        </w:rPr>
        <w:t>.</w:t>
      </w:r>
    </w:p>
    <w:p>
      <w:pPr>
        <w:pStyle w:val="TNR 14 1.5"/>
        <w:ind w:firstLine="720"/>
      </w:pPr>
      <w:r>
        <w:rPr>
          <w:rtl w:val="0"/>
          <w:lang w:val="ru-RU"/>
        </w:rPr>
        <w:t>Необходимым шагом при создании правил является подключение необходимых плагинов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возможна активация целых групп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 xml:space="preserve">, </w:t>
      </w:r>
      <w:r>
        <w:rPr>
          <w:rtl w:val="0"/>
          <w:lang w:val="en-US"/>
        </w:rPr>
        <w:t>Default</w:t>
      </w:r>
      <w:r>
        <w:rPr>
          <w:rtl w:val="0"/>
          <w:lang w:val="ru-RU"/>
        </w:rPr>
        <w:t xml:space="preserve"> </w:t>
      </w:r>
      <w:r>
        <w:rPr>
          <w:rtl w:val="0"/>
          <w:lang w:val="en-US"/>
        </w:rPr>
        <w:t>Unix</w:t>
      </w:r>
      <w:r>
        <w:rPr>
          <w:rtl w:val="0"/>
          <w:lang w:val="ru-RU"/>
        </w:rPr>
        <w:t xml:space="preserve"> </w:t>
      </w:r>
      <w:r>
        <w:rPr>
          <w:rtl w:val="0"/>
          <w:lang w:val="en-US"/>
        </w:rPr>
        <w:t>Accounts</w:t>
      </w:r>
      <w:r>
        <w:rPr>
          <w:rtl w:val="0"/>
          <w:lang w:val="ru-RU"/>
        </w:rPr>
        <w:t xml:space="preserve">, </w:t>
      </w:r>
      <w:r>
        <w:rPr>
          <w:rtl w:val="0"/>
          <w:lang w:val="en-US"/>
        </w:rPr>
        <w:t>DNS</w:t>
      </w:r>
      <w:r>
        <w:rPr>
          <w:rtl w:val="0"/>
          <w:lang w:val="ru-RU"/>
        </w:rPr>
        <w:t xml:space="preserve">, </w:t>
      </w:r>
      <w:r>
        <w:rPr>
          <w:rtl w:val="0"/>
          <w:lang w:val="en-US"/>
        </w:rPr>
        <w:t>CISCO</w:t>
      </w:r>
      <w:r>
        <w:rPr>
          <w:rtl w:val="0"/>
          <w:lang w:val="ru-RU"/>
        </w:rPr>
        <w:t xml:space="preserve">, </w:t>
      </w:r>
      <w:r>
        <w:rPr>
          <w:rtl w:val="0"/>
          <w:lang w:val="en-US"/>
        </w:rPr>
        <w:t>Slackware</w:t>
      </w:r>
      <w:r>
        <w:rPr>
          <w:rtl w:val="0"/>
          <w:lang w:val="ru-RU"/>
        </w:rPr>
        <w:t xml:space="preserve"> </w:t>
      </w:r>
      <w:r>
        <w:rPr>
          <w:rtl w:val="0"/>
          <w:lang w:val="en-US"/>
        </w:rPr>
        <w:t>Local</w:t>
      </w:r>
      <w:r>
        <w:rPr>
          <w:rtl w:val="0"/>
          <w:lang w:val="ru-RU"/>
        </w:rPr>
        <w:t xml:space="preserve"> </w:t>
      </w:r>
      <w:r>
        <w:rPr>
          <w:rtl w:val="0"/>
          <w:lang w:val="en-US"/>
        </w:rPr>
        <w:t>Security</w:t>
      </w:r>
      <w:r>
        <w:rPr>
          <w:rtl w:val="0"/>
          <w:lang w:val="ru-RU"/>
        </w:rPr>
        <w:t xml:space="preserve"> Checks, Windows </w:t>
      </w:r>
      <w:r>
        <w:rPr>
          <w:rtl w:val="0"/>
          <w:lang w:val="ru-RU"/>
        </w:rPr>
        <w:t>и т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д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Система проверяет признаки большого количества возможных атак и подозрительной активности приложений</w:t>
      </w:r>
      <w:r>
        <w:rPr>
          <w:rtl w:val="0"/>
          <w:lang w:val="ru-RU"/>
        </w:rPr>
        <w:t xml:space="preserve">. </w:t>
      </w:r>
    </w:p>
    <w:p>
      <w:pPr>
        <w:pStyle w:val="TNR 14 1.5"/>
        <w:ind w:firstLine="720"/>
      </w:pPr>
      <w:r>
        <w:rPr>
          <w:rtl w:val="0"/>
          <w:lang w:val="ru-RU"/>
        </w:rPr>
        <w:t>Сканер никогда не будет анализировать активность сервиса только по номеру его порта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При изменении стандартно используемых приложениями портов – сканер обнаруживает изменение и проведет определение наличия подозрительной активности</w:t>
      </w:r>
      <w:r>
        <w:rPr>
          <w:rtl w:val="0"/>
          <w:lang w:val="ru-RU"/>
        </w:rPr>
        <w:t xml:space="preserve">.  </w:t>
      </w:r>
    </w:p>
    <w:p>
      <w:pPr>
        <w:pStyle w:val="TNR 14 1.5"/>
        <w:ind w:firstLine="720"/>
      </w:pPr>
      <w:r>
        <w:rPr>
          <w:rtl w:val="0"/>
          <w:lang w:val="ru-RU"/>
        </w:rPr>
        <w:t>Ниже приведен перечень общих настроек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к которым возможно получение доступа </w:t>
      </w:r>
      <w:r>
        <w:rPr>
          <w:rtl w:val="0"/>
          <w:lang w:val="ru-RU"/>
        </w:rPr>
        <w:t>[2]:</w:t>
      </w:r>
    </w:p>
    <w:p>
      <w:pPr>
        <w:pStyle w:val="TNR 14 1.5"/>
        <w:numPr>
          <w:ilvl w:val="0"/>
          <w:numId w:val="16"/>
        </w:numPr>
        <w:rPr>
          <w:lang w:val="ru-RU"/>
        </w:rPr>
      </w:pPr>
      <w:r>
        <w:rPr>
          <w:rtl w:val="0"/>
          <w:lang w:val="ru-RU"/>
        </w:rPr>
        <w:t xml:space="preserve">Basic: </w:t>
      </w:r>
      <w:r>
        <w:rPr>
          <w:rtl w:val="0"/>
          <w:lang w:val="ru-RU"/>
        </w:rPr>
        <w:t>Посредством данного параметра возможно определение связанных с безопасностью и организационных аспектов проведения проверки или политики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Данные аспекты будут включать наименование шаблона сканирования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информацию о целях сканирования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независимости от того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является ли данная операция запланированной</w:t>
      </w:r>
      <w:r>
        <w:rPr>
          <w:rtl w:val="0"/>
          <w:lang w:val="ru-RU"/>
        </w:rPr>
        <w:t>.</w:t>
      </w:r>
    </w:p>
    <w:p>
      <w:pPr>
        <w:pStyle w:val="TNR 14 1.5"/>
        <w:numPr>
          <w:ilvl w:val="0"/>
          <w:numId w:val="16"/>
        </w:numPr>
        <w:rPr>
          <w:lang w:val="ru-RU"/>
        </w:rPr>
      </w:pPr>
      <w:r>
        <w:rPr>
          <w:rtl w:val="0"/>
          <w:lang w:val="ru-RU"/>
        </w:rPr>
        <w:t xml:space="preserve">Discovery: </w:t>
      </w:r>
      <w:r>
        <w:rPr>
          <w:rtl w:val="0"/>
          <w:lang w:val="ru-RU"/>
        </w:rPr>
        <w:t>в данной настройке проводится определение сканируемых портов и методов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которые будут использованы при проведении указанного исследования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Настройка содержит несколько разделов</w:t>
      </w:r>
      <w:r>
        <w:rPr>
          <w:rtl w:val="0"/>
          <w:lang w:val="ru-RU"/>
        </w:rPr>
        <w:t>.</w:t>
      </w:r>
    </w:p>
    <w:p>
      <w:pPr>
        <w:pStyle w:val="TNR 14 1.5"/>
        <w:numPr>
          <w:ilvl w:val="0"/>
          <w:numId w:val="16"/>
        </w:numPr>
        <w:rPr>
          <w:lang w:val="ru-RU"/>
        </w:rPr>
      </w:pPr>
      <w:r>
        <w:rPr>
          <w:rtl w:val="0"/>
          <w:lang w:val="ru-RU"/>
        </w:rPr>
        <w:t xml:space="preserve">Assessment: </w:t>
      </w:r>
      <w:r>
        <w:rPr>
          <w:rtl w:val="0"/>
          <w:lang w:val="ru-RU"/>
        </w:rPr>
        <w:t>Данный параметр позволяет определять тип сканирования уязвимостей для выполнения и способы его исполнения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Система проводит проверку уязвимостей веб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приложений к возможным атакам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а также проверку устойчивости других приложений к </w:t>
      </w:r>
      <w:r>
        <w:rPr>
          <w:rtl w:val="0"/>
          <w:lang w:val="en-US"/>
        </w:rPr>
        <w:t>DDoS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атакам</w:t>
      </w:r>
      <w:r>
        <w:rPr>
          <w:rtl w:val="0"/>
          <w:lang w:val="ru-RU"/>
        </w:rPr>
        <w:t>.</w:t>
      </w:r>
    </w:p>
    <w:p>
      <w:pPr>
        <w:pStyle w:val="TNR 14 1.5"/>
        <w:numPr>
          <w:ilvl w:val="0"/>
          <w:numId w:val="16"/>
        </w:numPr>
        <w:rPr>
          <w:lang w:val="ru-RU"/>
        </w:rPr>
      </w:pPr>
      <w:r>
        <w:rPr>
          <w:rtl w:val="0"/>
          <w:lang w:val="ru-RU"/>
        </w:rPr>
        <w:t xml:space="preserve"> Report: </w:t>
      </w:r>
      <w:r>
        <w:rPr>
          <w:rtl w:val="0"/>
          <w:lang w:val="ru-RU"/>
        </w:rPr>
        <w:t>В данной области настройки проводится работа с шаблонами формируемой отчетности по результатам сканирования уязвимостей</w:t>
      </w:r>
      <w:r>
        <w:rPr>
          <w:rtl w:val="0"/>
          <w:lang w:val="ru-RU"/>
        </w:rPr>
        <w:t xml:space="preserve">. </w:t>
      </w:r>
    </w:p>
    <w:p>
      <w:pPr>
        <w:pStyle w:val="TNR 14 1.5"/>
      </w:pPr>
      <w:r>
        <w:rPr>
          <w:rtl w:val="0"/>
          <w:lang w:val="ru-RU"/>
        </w:rPr>
        <w:t xml:space="preserve">На рисунке </w:t>
      </w:r>
      <w:r>
        <w:rPr>
          <w:rtl w:val="0"/>
          <w:lang w:val="ru-RU"/>
        </w:rPr>
        <w:t xml:space="preserve">12 </w:t>
      </w:r>
      <w:r>
        <w:rPr>
          <w:rtl w:val="0"/>
          <w:lang w:val="ru-RU"/>
        </w:rPr>
        <w:t>приведен режим настройки процесса сканирования уязвимостей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на рисунке </w:t>
      </w:r>
      <w:r>
        <w:rPr>
          <w:rtl w:val="0"/>
          <w:lang w:val="ru-RU"/>
        </w:rPr>
        <w:t xml:space="preserve">13 </w:t>
      </w:r>
      <w:r>
        <w:rPr>
          <w:rtl w:val="0"/>
          <w:lang w:val="ru-RU"/>
        </w:rPr>
        <w:t>– настройки сканирования</w:t>
      </w:r>
      <w:r>
        <w:rPr>
          <w:rtl w:val="0"/>
          <w:lang w:val="ru-RU"/>
        </w:rPr>
        <w:t>.</w:t>
      </w:r>
    </w:p>
    <w:p>
      <w:pPr>
        <w:pStyle w:val="TNR 14 1.5"/>
        <w:ind w:firstLine="720"/>
      </w:pPr>
      <w:r>
        <w:rPr>
          <w:rtl w:val="0"/>
          <w:lang w:val="ru-RU"/>
        </w:rPr>
        <w:t>В ходе проведения сканирования сети службы одного окна были обнаружены следы инцидентов</w:t>
      </w:r>
      <w:r>
        <w:rPr>
          <w:rtl w:val="0"/>
          <w:lang w:val="ru-RU"/>
        </w:rPr>
        <w:t>: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 xml:space="preserve">обнаружение неопознанного потока запросов к базе данных </w:t>
      </w:r>
      <w:r>
        <w:rPr>
          <w:rtl w:val="0"/>
          <w:lang w:val="en-US"/>
        </w:rPr>
        <w:t>MS</w:t>
      </w:r>
      <w:r>
        <w:rPr>
          <w:rtl w:val="0"/>
          <w:lang w:val="ru-RU"/>
        </w:rPr>
        <w:t xml:space="preserve"> </w:t>
      </w:r>
      <w:r>
        <w:rPr>
          <w:rtl w:val="0"/>
          <w:lang w:val="en-US"/>
        </w:rPr>
        <w:t>SQL</w:t>
      </w:r>
      <w:r>
        <w:rPr>
          <w:rtl w:val="0"/>
          <w:lang w:val="ru-RU"/>
        </w:rPr>
        <w:t xml:space="preserve"> </w:t>
      </w:r>
      <w:r>
        <w:rPr>
          <w:rtl w:val="0"/>
          <w:lang w:val="en-US"/>
        </w:rPr>
        <w:t>Server</w:t>
      </w:r>
      <w:r>
        <w:rPr>
          <w:rtl w:val="0"/>
          <w:lang w:val="ru-RU"/>
        </w:rPr>
        <w:t>;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-  </w:t>
      </w:r>
      <w:r>
        <w:rPr>
          <w:rtl w:val="0"/>
          <w:lang w:val="ru-RU"/>
        </w:rPr>
        <w:t>обнаружены внешние сетевые атаки на серверные ресурсы</w:t>
      </w:r>
      <w:r>
        <w:rPr>
          <w:rtl w:val="0"/>
          <w:lang w:val="ru-RU"/>
        </w:rPr>
        <w:t>;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возможность авторизации в СУБД в автоматическом режиме без ввода пароля</w:t>
      </w:r>
      <w:r>
        <w:rPr>
          <w:rtl w:val="0"/>
          <w:lang w:val="ru-RU"/>
        </w:rPr>
        <w:t>;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обнаружена активность неопознанного приложения на сервере</w:t>
      </w:r>
      <w:r>
        <w:rPr>
          <w:rtl w:val="0"/>
          <w:lang w:val="ru-RU"/>
        </w:rPr>
        <w:t>.</w:t>
      </w:r>
    </w:p>
    <w:p>
      <w:pPr>
        <w:pStyle w:val="TNR 14 1.5"/>
      </w:pPr>
    </w:p>
    <w:p>
      <w:pPr>
        <w:pStyle w:val="TNR 14 1.5"/>
        <w:ind w:firstLine="0"/>
      </w:pPr>
      <w:r>
        <w:drawing>
          <wp:inline distT="0" distB="0" distL="0" distR="0">
            <wp:extent cx="5936489" cy="3718467"/>
            <wp:effectExtent l="0" t="0" r="0" b="0"/>
            <wp:docPr id="1073741890" name="officeArt object" descr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90" name="Picture 10" descr="Picture 10"/>
                    <pic:cNvPicPr>
                      <a:picLocks noChangeAspect="1"/>
                    </pic:cNvPicPr>
                  </pic:nvPicPr>
                  <pic:blipFill>
                    <a:blip r:embed="rId2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6489" cy="371846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TNR 14 1.5"/>
        <w:jc w:val="center"/>
      </w:pPr>
      <w:r>
        <w:rPr>
          <w:rtl w:val="0"/>
          <w:lang w:val="ru-RU"/>
        </w:rPr>
        <w:t xml:space="preserve">Рисунок </w:t>
      </w:r>
      <w:r>
        <w:rPr>
          <w:rtl w:val="0"/>
          <w:lang w:val="ru-RU"/>
        </w:rPr>
        <w:t xml:space="preserve">5 </w:t>
      </w:r>
      <w:r>
        <w:rPr>
          <w:rtl w:val="0"/>
          <w:lang w:val="ru-RU"/>
        </w:rPr>
        <w:t>– Настройки сканирования уязвимостей</w:t>
      </w:r>
    </w:p>
    <w:p>
      <w:pPr>
        <w:pStyle w:val="TNR 14 1.5"/>
        <w:ind w:firstLine="0"/>
      </w:pPr>
      <w:r>
        <w:drawing>
          <wp:inline distT="0" distB="0" distL="0" distR="0">
            <wp:extent cx="5936489" cy="3718467"/>
            <wp:effectExtent l="0" t="0" r="0" b="0"/>
            <wp:docPr id="1073741891" name="officeArt object" descr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91" name="Picture 12" descr="Picture 12"/>
                    <pic:cNvPicPr>
                      <a:picLocks noChangeAspect="1"/>
                    </pic:cNvPicPr>
                  </pic:nvPicPr>
                  <pic:blipFill>
                    <a:blip r:embed="rId2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6489" cy="371846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TNR 14 1.5"/>
        <w:jc w:val="center"/>
      </w:pPr>
      <w:r>
        <w:rPr>
          <w:rtl w:val="0"/>
          <w:lang w:val="ru-RU"/>
        </w:rPr>
        <w:t xml:space="preserve">Рисунок </w:t>
      </w:r>
      <w:r>
        <w:rPr>
          <w:rtl w:val="0"/>
          <w:lang w:val="ru-RU"/>
        </w:rPr>
        <w:t xml:space="preserve">6 </w:t>
      </w:r>
      <w:r>
        <w:rPr>
          <w:rtl w:val="0"/>
          <w:lang w:val="ru-RU"/>
        </w:rPr>
        <w:t>– Настройки сканирования</w:t>
      </w:r>
    </w:p>
    <w:p>
      <w:pPr>
        <w:pStyle w:val="TNR 14 1.5"/>
        <w:ind w:firstLine="720"/>
      </w:pPr>
    </w:p>
    <w:p>
      <w:pPr>
        <w:pStyle w:val="TNR 14 1.5"/>
        <w:ind w:firstLine="720"/>
      </w:pPr>
      <w:r>
        <w:rPr>
          <w:rtl w:val="0"/>
          <w:lang w:val="ru-RU"/>
        </w:rPr>
        <w:t>Уязвимости в информационной системе ООО «Вектор включают</w:t>
      </w:r>
      <w:r>
        <w:rPr>
          <w:rtl w:val="0"/>
          <w:lang w:val="ru-RU"/>
        </w:rPr>
        <w:t>: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не отключенная учетная запись «администратор» на компьютерах пользователей без пароля</w:t>
      </w:r>
      <w:r>
        <w:rPr>
          <w:rtl w:val="0"/>
          <w:lang w:val="ru-RU"/>
        </w:rPr>
        <w:t>;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пароль Администратора на сервере не соответствует требованиям безопасности</w:t>
      </w:r>
      <w:r>
        <w:rPr>
          <w:rtl w:val="0"/>
          <w:lang w:val="ru-RU"/>
        </w:rPr>
        <w:t>;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пользователям доступен режим самостоятельного отключения и удаления антивирусного ПО</w:t>
      </w:r>
      <w:r>
        <w:rPr>
          <w:rtl w:val="0"/>
          <w:lang w:val="ru-RU"/>
        </w:rPr>
        <w:t>;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пользователи на рабочих станциях имеют права локальных администраторов</w:t>
      </w:r>
      <w:r>
        <w:rPr>
          <w:rtl w:val="0"/>
          <w:lang w:val="ru-RU"/>
        </w:rPr>
        <w:t>;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установлены прикладные программные продукты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использование которых требует административных прав</w:t>
      </w:r>
      <w:r>
        <w:rPr>
          <w:rtl w:val="0"/>
          <w:lang w:val="ru-RU"/>
        </w:rPr>
        <w:t>;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 xml:space="preserve">не разграничен доступ к использованию </w:t>
      </w:r>
      <w:r>
        <w:rPr>
          <w:rtl w:val="0"/>
          <w:lang w:val="en-US"/>
        </w:rPr>
        <w:t>flash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накопителей</w:t>
      </w:r>
      <w:r>
        <w:rPr>
          <w:rtl w:val="0"/>
          <w:lang w:val="ru-RU"/>
        </w:rPr>
        <w:t>;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существуют служебные доменные учетные записи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не имеющие пароля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учетная запись для использования сетевого сканера</w:t>
      </w:r>
      <w:r>
        <w:rPr>
          <w:rtl w:val="0"/>
          <w:lang w:val="ru-RU"/>
        </w:rPr>
        <w:t>);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отсутствует система защиты от СПАМа</w:t>
      </w:r>
      <w:r>
        <w:rPr>
          <w:rtl w:val="0"/>
          <w:lang w:val="ru-RU"/>
        </w:rPr>
        <w:t>;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в разделяемых файловых ресурсах всем пользователям доступны режимы записи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изменения и удаления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что является для некоторых ресурсов избыточным</w:t>
      </w:r>
      <w:r>
        <w:rPr>
          <w:rtl w:val="0"/>
          <w:lang w:val="ru-RU"/>
        </w:rPr>
        <w:t xml:space="preserve">), </w:t>
      </w:r>
      <w:r>
        <w:rPr>
          <w:rtl w:val="0"/>
          <w:lang w:val="ru-RU"/>
        </w:rPr>
        <w:t>не проводится мониторинг активности учетных записей при работе с ресурсами файлового сервера</w:t>
      </w:r>
      <w:r>
        <w:rPr>
          <w:rtl w:val="0"/>
          <w:lang w:val="ru-RU"/>
        </w:rPr>
        <w:t xml:space="preserve">;  </w:t>
      </w:r>
    </w:p>
    <w:p>
      <w:pPr>
        <w:pStyle w:val="TNR 14 1.5"/>
        <w:ind w:firstLine="720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ошибки в конфигурировании межсетевого экрана</w:t>
      </w:r>
      <w:r>
        <w:rPr>
          <w:rtl w:val="0"/>
          <w:lang w:val="ru-RU"/>
        </w:rPr>
        <w:t>.</w:t>
      </w:r>
    </w:p>
    <w:p>
      <w:pPr>
        <w:pStyle w:val="TNR 14 1.5"/>
        <w:ind w:firstLine="720"/>
      </w:pPr>
      <w:r>
        <w:rPr>
          <w:rtl w:val="0"/>
          <w:lang w:val="ru-RU"/>
        </w:rPr>
        <w:t>Устранение указанных уязвимостей возможно при использовании дополнительных программных средств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позволяющих провести анализ состояния системы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антивирусного ПО</w:t>
      </w:r>
      <w:r>
        <w:rPr>
          <w:rtl w:val="0"/>
          <w:lang w:val="ru-RU"/>
        </w:rPr>
        <w:t>).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200" w:line="276" w:lineRule="auto"/>
        <w:ind w:firstLine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heading 2"/>
        <w:jc w:val="center"/>
        <w:rPr>
          <w:rFonts w:ascii="Times New Roman" w:cs="Times New Roman" w:hAnsi="Times New Roman" w:eastAsia="Times New Roman"/>
          <w:i w:val="0"/>
          <w:iCs w:val="0"/>
        </w:rPr>
      </w:pPr>
      <w:bookmarkStart w:name="_Toc15" w:id="15"/>
      <w:r>
        <w:rPr>
          <w:rFonts w:ascii="Times New Roman" w:hAnsi="Times New Roman" w:hint="default"/>
          <w:i w:val="0"/>
          <w:iCs w:val="0"/>
          <w:rtl w:val="0"/>
          <w:lang w:val="ru-RU"/>
        </w:rPr>
        <w:t>Заключение</w:t>
      </w:r>
      <w:bookmarkEnd w:id="15"/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рамках данной работы был проведен аудит организации защиты информации на примере структуры службы одного окна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проведена оценка рисков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угроз активам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Рассмотрены теоретические основы и нормативная база систем информационной безопасности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Определен перечень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отнесенной к разряду защищаемых данных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перечень документов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образующихся в работе организации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работающих с персональными данными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Рассмотрена классификация типов конфиденциальной информации по методике ФСТЭК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защищенности автоматизированных информационных систем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проанализировано документационное и организационное обеспечения выполнения требований законодательства относительно определенного класса конфиденциальности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Проведен анализ организации процесса защиты персональных данных применительно к структуре службы одного окна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Определены бизнес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процессы организации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связанные с обработкой персональных данных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Приведена модель угроз безопасности конфиденциальной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для каждого из типов угроз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 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Для автоматизированной системы службы одного окна определен класс обрабатываемых персональных данных и класс защищенности информационной системы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Проанализировано выполнение требований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предъявляемых к автоматизированной информационной системе данного класса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Проанализирован перечень документов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обеспечивающих организационно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технические меры по защите персональных данных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рассмотрены технологические решения в виде программно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аппаратных средств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ходе проведения аудита защиты информации с помощью экспертной системы установлено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что информационная система обработки данных к классу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1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соответствии с требованиями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предъявляемыми законодательством к данному классу информационных систем необходимо проведения ряда организационных мер по защите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Необходимо наличие документационного обеспечения согласно перечню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утвержденному действующим законодательством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Согласно данным требованиям проведен анализ имеющегося документационного обеспечения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 также организационных и технологических мер по защите персональных данных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Показано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что документационное и программно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техническое обеспечение работы с персональными данными соответствует требованиям действующего законодательства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Показано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что действующая информационная система службы одного окна не имеет целостного подхода к защите информационных ресурсов – политики защиты информации на каждом информационном ресурсе уникальны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что увеличивает трудозатраты специалистов на выполнение требований защиты информации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снижая общую защищенность системы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 </w:t>
      </w:r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практической части работы проведено проектирование экспертной системы для аудита информационной безопасности компании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выявлен ряд недостатков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определены пути совершенствования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200" w:line="276" w:lineRule="auto"/>
        <w:ind w:firstLine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28"/>
          <w:szCs w:val="28"/>
        </w:rPr>
        <w:br w:type="page"/>
      </w:r>
    </w:p>
    <w:p>
      <w:pPr>
        <w:pStyle w:val="heading 2"/>
        <w:jc w:val="center"/>
        <w:rPr>
          <w:rFonts w:ascii="Times New Roman" w:cs="Times New Roman" w:hAnsi="Times New Roman" w:eastAsia="Times New Roman"/>
          <w:i w:val="0"/>
          <w:iCs w:val="0"/>
        </w:rPr>
      </w:pPr>
      <w:bookmarkStart w:name="_Toc16" w:id="16"/>
      <w:r>
        <w:rPr>
          <w:rFonts w:ascii="Times New Roman" w:hAnsi="Times New Roman" w:hint="default"/>
          <w:i w:val="0"/>
          <w:iCs w:val="0"/>
          <w:rtl w:val="0"/>
          <w:lang w:val="ru-RU"/>
        </w:rPr>
        <w:t>Список источников и литературы</w:t>
      </w:r>
      <w:bookmarkEnd w:id="16"/>
    </w:p>
    <w:p>
      <w:pPr>
        <w:pStyle w:val="Normal.0"/>
        <w:jc w:val="both"/>
        <w:rPr>
          <w:sz w:val="28"/>
          <w:szCs w:val="28"/>
        </w:rPr>
      </w:pPr>
    </w:p>
    <w:p>
      <w:pPr>
        <w:pStyle w:val="List Paragraph"/>
        <w:numPr>
          <w:ilvl w:val="0"/>
          <w:numId w:val="1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Михайлова 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Анурьева 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Организационная защита информации </w:t>
      </w:r>
      <w:r>
        <w:rPr>
          <w:rFonts w:ascii="Times New Roman" w:hAnsi="Times New Roman"/>
          <w:sz w:val="28"/>
          <w:szCs w:val="28"/>
          <w:rtl w:val="0"/>
          <w:lang w:val="ru-RU"/>
        </w:rPr>
        <w:t>[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Электронный ресурс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]/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Михайлова 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Анурьева 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Тамбов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ФГБОУ ВО 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Тамбовский государственный университет имени 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Державина</w:t>
      </w:r>
      <w:r>
        <w:rPr>
          <w:rFonts w:ascii="Times New Roman" w:hAnsi="Times New Roman"/>
          <w:sz w:val="28"/>
          <w:szCs w:val="28"/>
          <w:rtl w:val="0"/>
          <w:lang w:val="ru-RU"/>
        </w:rPr>
        <w:t>", 2017.</w:t>
      </w:r>
    </w:p>
    <w:p>
      <w:pPr>
        <w:pStyle w:val="List Paragraph"/>
        <w:numPr>
          <w:ilvl w:val="0"/>
          <w:numId w:val="1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Баранова 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Информационная безопасность и защита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учебное пособие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для студентов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обучающихся по направлению 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Прикладная информатика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" 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Баранова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Бабаш</w:t>
      </w:r>
      <w:r>
        <w:rPr>
          <w:rFonts w:ascii="Times New Roman" w:hAnsi="Times New Roman"/>
          <w:sz w:val="28"/>
          <w:szCs w:val="28"/>
          <w:rtl w:val="0"/>
          <w:lang w:val="ru-RU"/>
        </w:rPr>
        <w:t>. - 4-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 изд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перераб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доп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Москва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РИОР ИНФРА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2018.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334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List Paragraph"/>
        <w:numPr>
          <w:ilvl w:val="0"/>
          <w:numId w:val="1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Аникин 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Информационная безопасность и защита информации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Аникин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Барнаул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Изд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 Алтайского государственного университета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2018. - 196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List Paragraph"/>
        <w:numPr>
          <w:ilvl w:val="0"/>
          <w:numId w:val="1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Козлов 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Защита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устройства несанкционированного съема информации и борьба с ними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учебно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практическое пособие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Козлов</w:t>
      </w:r>
      <w:r>
        <w:rPr>
          <w:rFonts w:ascii="Times New Roman" w:hAnsi="Times New Roman"/>
          <w:sz w:val="28"/>
          <w:szCs w:val="28"/>
          <w:rtl w:val="0"/>
          <w:lang w:val="ru-RU"/>
        </w:rPr>
        <w:t>. - [2-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 изд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.].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Москва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Академический проект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2018.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>285</w:t>
      </w:r>
    </w:p>
    <w:p>
      <w:pPr>
        <w:pStyle w:val="List Paragraph"/>
        <w:numPr>
          <w:ilvl w:val="0"/>
          <w:numId w:val="1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Магомедов Ш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Методы и средства защиты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учебное пособие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Ш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Магомедов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Москва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Московский технологический университет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МИРЭА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2018. - 91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List Paragraph"/>
        <w:numPr>
          <w:ilvl w:val="0"/>
          <w:numId w:val="1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Тельный 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Монахов 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Техническая защита информации </w:t>
      </w:r>
      <w:r>
        <w:rPr>
          <w:rFonts w:ascii="Times New Roman" w:hAnsi="Times New Roman"/>
          <w:sz w:val="28"/>
          <w:szCs w:val="28"/>
          <w:rtl w:val="0"/>
          <w:lang w:val="ru-RU"/>
        </w:rPr>
        <w:t>[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Электронный ресурс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].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Аппаратура поиска каналов и устройств несанкционированного съема информации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методики и рекомендации по применению технических средств защиты информации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учебное пособие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Тельный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Монахов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Владимир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ВлГУ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2018.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>241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List Paragraph"/>
        <w:numPr>
          <w:ilvl w:val="0"/>
          <w:numId w:val="1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Никифоров 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Защита информации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защита от внешних вторжений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учебное пособие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Никифоров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Санкт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Петербург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Санкт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Петербургский государственный архитектурно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строительный университет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2017.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>82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List Paragraph"/>
        <w:numPr>
          <w:ilvl w:val="0"/>
          <w:numId w:val="1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Шаньгин 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Информационная безопасность и защита информации </w:t>
      </w:r>
      <w:r>
        <w:rPr>
          <w:rFonts w:ascii="Times New Roman" w:hAnsi="Times New Roman"/>
          <w:sz w:val="28"/>
          <w:szCs w:val="28"/>
          <w:rtl w:val="0"/>
          <w:lang w:val="ru-RU"/>
        </w:rPr>
        <w:t>[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Электронный ресурс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] 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учебное пособие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Шаньгин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Саратов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Профобразование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>, 2017. - 702 c</w:t>
      </w:r>
    </w:p>
    <w:p>
      <w:pPr>
        <w:pStyle w:val="List Paragraph"/>
        <w:numPr>
          <w:ilvl w:val="0"/>
          <w:numId w:val="1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Горев 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Симаков 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Обработка и защита информации в компьютерных системах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учебно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практическое пособие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Горев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Симаков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Омск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ОмА МВД России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2016. - 87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List Paragraph"/>
        <w:numPr>
          <w:ilvl w:val="0"/>
          <w:numId w:val="1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Макаров 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Куприянов 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Защита информации в телекоммуникационных системах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Кодирование сообщений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учебное пособие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Макаров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Куприянов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Москва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Изд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 МАИ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2016.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>39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List Paragraph"/>
        <w:numPr>
          <w:ilvl w:val="0"/>
          <w:numId w:val="1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Кондратьев 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Техническая защита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Практика работ по оценке основных каналов утечки </w:t>
      </w:r>
      <w:r>
        <w:rPr>
          <w:rFonts w:ascii="Times New Roman" w:hAnsi="Times New Roman"/>
          <w:sz w:val="28"/>
          <w:szCs w:val="28"/>
          <w:rtl w:val="0"/>
          <w:lang w:val="ru-RU"/>
        </w:rPr>
        <w:t>: [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учебное пособие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] 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Кондратьев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Москва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Горячая линия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2016. - 304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List Paragraph"/>
        <w:numPr>
          <w:ilvl w:val="0"/>
          <w:numId w:val="1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Информационные технологии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связь и защита информации МВД России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- 2016 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тематический сборник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Москва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Компания 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Информационный мост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", 2016.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>193</w:t>
      </w:r>
    </w:p>
    <w:p>
      <w:pPr>
        <w:pStyle w:val="List Paragraph"/>
        <w:numPr>
          <w:ilvl w:val="0"/>
          <w:numId w:val="1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Ярчук 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Информационная безопасность и защита информации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Ярчук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Екатеринбург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УрФУ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2016. - 132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List Paragraph"/>
        <w:numPr>
          <w:ilvl w:val="0"/>
          <w:numId w:val="1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Акулов 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Наумов 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Хранение и защита компьютерной информации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современные алгоритмы и протоколы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учебное пособие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Акулов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Наумов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Волгоград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ВолгГТУ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2016.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>94</w:t>
      </w:r>
    </w:p>
    <w:p>
      <w:pPr>
        <w:pStyle w:val="List Paragraph"/>
        <w:numPr>
          <w:ilvl w:val="0"/>
          <w:numId w:val="1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Игнатов 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Ковальчук 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Паршин 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Техническая защита информации ограниченного доступа </w:t>
      </w:r>
      <w:r>
        <w:rPr>
          <w:rFonts w:ascii="Times New Roman" w:hAnsi="Times New Roman"/>
          <w:sz w:val="28"/>
          <w:szCs w:val="28"/>
          <w:rtl w:val="0"/>
          <w:lang w:val="ru-RU"/>
        </w:rPr>
        <w:t>: [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учебное пособие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] 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Игнатов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Ковальчук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Паршин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Воронеж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РИТМ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2018. - 421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List Paragraph"/>
        <w:numPr>
          <w:ilvl w:val="0"/>
          <w:numId w:val="18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Пелешенко 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Говорова 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Лапина М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Менеджмент инцидентов информационной безопасности защищенных автоматизированных систем управления </w:t>
      </w:r>
      <w:r>
        <w:rPr>
          <w:rFonts w:ascii="Times New Roman" w:hAnsi="Times New Roman"/>
          <w:sz w:val="28"/>
          <w:szCs w:val="28"/>
          <w:rtl w:val="0"/>
          <w:lang w:val="ru-RU"/>
        </w:rPr>
        <w:t>[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Электронный ресурс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]: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учебное пособие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Лапина 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Говорова 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Пелешенко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Ставрополь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Северо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Кавказский федеральный университет</w:t>
      </w:r>
      <w:r>
        <w:rPr>
          <w:rFonts w:ascii="Times New Roman" w:hAnsi="Times New Roman"/>
          <w:sz w:val="28"/>
          <w:szCs w:val="28"/>
          <w:rtl w:val="0"/>
          <w:lang w:val="ru-RU"/>
        </w:rPr>
        <w:t>, 2017. - 86 c.</w:t>
      </w:r>
    </w:p>
    <w:p>
      <w:pPr>
        <w:pStyle w:val="Normal.0"/>
        <w:ind w:firstLine="0"/>
        <w:rPr>
          <w:sz w:val="28"/>
          <w:szCs w:val="28"/>
        </w:rPr>
      </w:pPr>
    </w:p>
    <w:p>
      <w:pPr>
        <w:pStyle w:val="TNR 14 1.5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диплом заголовок 2"/>
      </w:pPr>
      <w:bookmarkStart w:name="_Toc17" w:id="17"/>
      <w:r>
        <w:rPr>
          <w:rFonts w:cs="Arial Unicode MS" w:eastAsia="Arial Unicode MS" w:hint="default"/>
          <w:rtl w:val="0"/>
          <w:lang w:val="ru-RU"/>
        </w:rPr>
        <w:t xml:space="preserve">Приложение </w:t>
      </w:r>
      <w:r>
        <w:rPr>
          <w:rFonts w:cs="Arial Unicode MS" w:eastAsia="Arial Unicode MS"/>
          <w:rtl w:val="0"/>
          <w:lang w:val="ru-RU"/>
        </w:rPr>
        <w:t xml:space="preserve">1 </w:t>
      </w:r>
      <w:bookmarkEnd w:id="17"/>
    </w:p>
    <w:p>
      <w:pPr>
        <w:pStyle w:val="TNR 14 1.5"/>
      </w:pPr>
      <w:r>
        <w:rPr>
          <w:rtl w:val="0"/>
          <w:lang w:val="ru-RU"/>
        </w:rPr>
        <w:t>Перечень документов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регламентирующих деятельность службы одного окна в области защиты персональных данных</w:t>
      </w:r>
    </w:p>
    <w:p>
      <w:pPr>
        <w:pStyle w:val="TNR 14 1.5"/>
        <w:numPr>
          <w:ilvl w:val="0"/>
          <w:numId w:val="20"/>
        </w:numPr>
        <w:rPr>
          <w:lang w:val="ru-RU"/>
        </w:rPr>
      </w:pPr>
      <w:r>
        <w:rPr>
          <w:rtl w:val="0"/>
          <w:lang w:val="ru-RU"/>
        </w:rPr>
        <w:t>Положение о защите персональных данных</w:t>
      </w:r>
    </w:p>
    <w:p>
      <w:pPr>
        <w:pStyle w:val="TNR 14 1.5"/>
        <w:numPr>
          <w:ilvl w:val="0"/>
          <w:numId w:val="20"/>
        </w:numPr>
        <w:rPr>
          <w:lang w:val="ru-RU"/>
        </w:rPr>
      </w:pPr>
      <w:r>
        <w:rPr>
          <w:rtl w:val="0"/>
          <w:lang w:val="ru-RU"/>
        </w:rPr>
        <w:t>Список информационных систем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которых проводится обработка персональных данных</w:t>
      </w:r>
    </w:p>
    <w:p>
      <w:pPr>
        <w:pStyle w:val="TNR 14 1.5"/>
        <w:numPr>
          <w:ilvl w:val="0"/>
          <w:numId w:val="20"/>
        </w:numPr>
        <w:rPr>
          <w:lang w:val="ru-RU"/>
        </w:rPr>
      </w:pPr>
      <w:r>
        <w:rPr>
          <w:rtl w:val="0"/>
          <w:lang w:val="ru-RU"/>
        </w:rPr>
        <w:t>Список пользователей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допущенных к обработке персональных данных автоматизированным способом</w:t>
      </w:r>
    </w:p>
    <w:p>
      <w:pPr>
        <w:pStyle w:val="TNR 14 1.5"/>
        <w:numPr>
          <w:ilvl w:val="0"/>
          <w:numId w:val="20"/>
        </w:numPr>
        <w:rPr>
          <w:lang w:val="ru-RU"/>
        </w:rPr>
      </w:pPr>
      <w:r>
        <w:rPr>
          <w:rtl w:val="0"/>
          <w:lang w:val="ru-RU"/>
        </w:rPr>
        <w:t>Список пользователей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допущенных к обработке персональных данных неавтоматизированным способом</w:t>
      </w:r>
    </w:p>
    <w:p>
      <w:pPr>
        <w:pStyle w:val="TNR 14 1.5"/>
        <w:numPr>
          <w:ilvl w:val="0"/>
          <w:numId w:val="20"/>
        </w:numPr>
        <w:rPr>
          <w:lang w:val="ru-RU"/>
        </w:rPr>
      </w:pPr>
      <w:r>
        <w:rPr>
          <w:rtl w:val="0"/>
          <w:lang w:val="ru-RU"/>
        </w:rPr>
        <w:t>Таблицы управления доступом к ИСПДн</w:t>
      </w:r>
    </w:p>
    <w:p>
      <w:pPr>
        <w:pStyle w:val="TNR 14 1.5"/>
        <w:numPr>
          <w:ilvl w:val="0"/>
          <w:numId w:val="20"/>
        </w:numPr>
        <w:rPr>
          <w:lang w:val="ru-RU"/>
        </w:rPr>
      </w:pPr>
      <w:r>
        <w:rPr>
          <w:rtl w:val="0"/>
          <w:lang w:val="ru-RU"/>
        </w:rPr>
        <w:t>Список помещений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которых проводится обработка ИСПДн</w:t>
      </w:r>
    </w:p>
    <w:p>
      <w:pPr>
        <w:pStyle w:val="Normal.0"/>
        <w:spacing w:after="200" w:line="276" w:lineRule="auto"/>
        <w:ind w:firstLine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диплом заголовок 2"/>
      </w:pPr>
      <w:bookmarkStart w:name="_Toc18" w:id="18"/>
      <w:r>
        <w:rPr>
          <w:rFonts w:cs="Arial Unicode MS" w:eastAsia="Arial Unicode MS" w:hint="default"/>
          <w:rtl w:val="0"/>
          <w:lang w:val="ru-RU"/>
        </w:rPr>
        <w:t xml:space="preserve">Приложение </w:t>
      </w:r>
      <w:r>
        <w:rPr>
          <w:rFonts w:cs="Arial Unicode MS" w:eastAsia="Arial Unicode MS"/>
          <w:rtl w:val="0"/>
          <w:lang w:val="ru-RU"/>
        </w:rPr>
        <w:t>2</w:t>
      </w:r>
      <w:bookmarkEnd w:id="18"/>
    </w:p>
    <w:p>
      <w:pPr>
        <w:pStyle w:val="TNR 14 1.5"/>
      </w:pPr>
      <w:r>
        <w:rPr>
          <w:rtl w:val="0"/>
          <w:lang w:val="ru-RU"/>
        </w:rPr>
        <w:t>Перечень документов для ознакомления пользователей</w:t>
      </w:r>
    </w:p>
    <w:p>
      <w:pPr>
        <w:pStyle w:val="Normal.0"/>
        <w:widowControl w:val="0"/>
        <w:numPr>
          <w:ilvl w:val="0"/>
          <w:numId w:val="22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Временная инструкция по авторизации пользователей регионального сегмента АИС </w:t>
      </w:r>
    </w:p>
    <w:p>
      <w:pPr>
        <w:pStyle w:val="Normal.0"/>
        <w:widowControl w:val="0"/>
        <w:numPr>
          <w:ilvl w:val="0"/>
          <w:numId w:val="22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Памятка пользователям информационной системы по вопросам информационной безопасности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numPr>
          <w:ilvl w:val="0"/>
          <w:numId w:val="22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Памятка руководителям структурных подразделений по вопросам информационной безопасности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numPr>
          <w:ilvl w:val="0"/>
          <w:numId w:val="22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Инструкция о порядке учёта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хранения и обращения машинных носителей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numPr>
          <w:ilvl w:val="0"/>
          <w:numId w:val="22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Положение о порядке работы с документами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содержащими информацию конфиденциального характера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numPr>
          <w:ilvl w:val="0"/>
          <w:numId w:val="22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Положение об обеспечении пропускного и внутриобъектового режима охраны зданий и внутренних помещений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numPr>
          <w:ilvl w:val="0"/>
          <w:numId w:val="22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Положение о работе с персональными данными работников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службы одного окна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numPr>
          <w:ilvl w:val="0"/>
          <w:numId w:val="22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Положение о порядке отнесения информации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подразделениях службы одного окна к конфиденциальной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numPr>
          <w:ilvl w:val="0"/>
          <w:numId w:val="22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Реестр документов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образующихся в деятельности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подразделениях службы одного окна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относящихся к утвержденному перечню сведений конфиденциального характера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200" w:line="276" w:lineRule="auto"/>
        <w:ind w:firstLine="0"/>
      </w:pPr>
    </w:p>
    <w:p>
      <w:pPr>
        <w:pStyle w:val="диплом заголовок 2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диплом заголовок 2"/>
      </w:pPr>
      <w:bookmarkStart w:name="_Toc19" w:id="19"/>
      <w:r>
        <w:rPr>
          <w:rFonts w:cs="Arial Unicode MS" w:eastAsia="Arial Unicode MS" w:hint="default"/>
          <w:rtl w:val="0"/>
          <w:lang w:val="ru-RU"/>
        </w:rPr>
        <w:t xml:space="preserve">Приложение </w:t>
      </w:r>
      <w:r>
        <w:rPr>
          <w:rFonts w:cs="Arial Unicode MS" w:eastAsia="Arial Unicode MS"/>
          <w:rtl w:val="0"/>
          <w:lang w:val="ru-RU"/>
        </w:rPr>
        <w:t>3</w:t>
      </w:r>
      <w:bookmarkEnd w:id="19"/>
    </w:p>
    <w:p>
      <w:pPr>
        <w:pStyle w:val="Normal.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Функциональные обязанности специалистов в области информационной безопасности в подразделениях службы одного окна</w:t>
      </w:r>
    </w:p>
    <w:tbl>
      <w:tblPr>
        <w:tblW w:w="957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101"/>
        <w:gridCol w:w="4114"/>
        <w:gridCol w:w="3356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21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Должность</w:t>
            </w:r>
          </w:p>
        </w:tc>
        <w:tc>
          <w:tcPr>
            <w:tcW w:type="dxa" w:w="41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Функции</w:t>
            </w:r>
          </w:p>
        </w:tc>
        <w:tc>
          <w:tcPr>
            <w:tcW w:type="dxa" w:w="3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Ответственность</w:t>
            </w:r>
          </w:p>
        </w:tc>
      </w:tr>
      <w:tr>
        <w:tblPrEx>
          <w:shd w:val="clear" w:color="auto" w:fill="ced7e7"/>
        </w:tblPrEx>
        <w:trPr>
          <w:trHeight w:val="3198" w:hRule="atLeast"/>
        </w:trPr>
        <w:tc>
          <w:tcPr>
            <w:tcW w:type="dxa" w:w="21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Руководитель подразделения</w:t>
            </w:r>
          </w:p>
        </w:tc>
        <w:tc>
          <w:tcPr>
            <w:tcW w:type="dxa" w:w="41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 за соблюдением требований законодательства защиты конфиденциальной информации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подписание документов в области защиты конфиденциальной информации</w:t>
            </w:r>
          </w:p>
        </w:tc>
        <w:tc>
          <w:tcPr>
            <w:tcW w:type="dxa" w:w="3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Ответственность за выявленные нарушения в области защиты информации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обнаруженные в деятельности службы одного окна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дисциплинарная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административная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уголовная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) </w:t>
            </w:r>
          </w:p>
        </w:tc>
      </w:tr>
      <w:tr>
        <w:tblPrEx>
          <w:shd w:val="clear" w:color="auto" w:fill="ced7e7"/>
        </w:tblPrEx>
        <w:trPr>
          <w:trHeight w:val="2558" w:hRule="atLeast"/>
        </w:trPr>
        <w:tc>
          <w:tcPr>
            <w:tcW w:type="dxa" w:w="21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Заместитель руководителя подразделения</w:t>
            </w:r>
          </w:p>
        </w:tc>
        <w:tc>
          <w:tcPr>
            <w:tcW w:type="dxa" w:w="41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Возглавляет комиссии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необходимые при проведении работ по обеспечению требований защиты конфиденциальной информации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подписывает акты по технологическим операциям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  <w:tc>
          <w:tcPr>
            <w:tcW w:type="dxa" w:w="3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Ответственность за работу комиссии по обеспечению требований защиты информации</w:t>
            </w:r>
          </w:p>
        </w:tc>
      </w:tr>
      <w:tr>
        <w:tblPrEx>
          <w:shd w:val="clear" w:color="auto" w:fill="ced7e7"/>
        </w:tblPrEx>
        <w:trPr>
          <w:trHeight w:val="2878" w:hRule="atLeast"/>
        </w:trPr>
        <w:tc>
          <w:tcPr>
            <w:tcW w:type="dxa" w:w="21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Администратор защиты информации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назначается из числа специалистов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41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Практическая реализация комплексной защиты информации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ведение документации по защите информации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разработка нормативных актов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внесение предложений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выявление фактов нарушения требований защиты информации </w:t>
            </w:r>
          </w:p>
        </w:tc>
        <w:tc>
          <w:tcPr>
            <w:tcW w:type="dxa" w:w="3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Ответственность за организацию защиты информации</w:t>
            </w:r>
          </w:p>
        </w:tc>
      </w:tr>
      <w:tr>
        <w:tblPrEx>
          <w:shd w:val="clear" w:color="auto" w:fill="ced7e7"/>
        </w:tblPrEx>
        <w:trPr>
          <w:trHeight w:val="1278" w:hRule="atLeast"/>
        </w:trPr>
        <w:tc>
          <w:tcPr>
            <w:tcW w:type="dxa" w:w="21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Начальник отдела</w:t>
            </w:r>
          </w:p>
        </w:tc>
        <w:tc>
          <w:tcPr>
            <w:tcW w:type="dxa" w:w="41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 за выполнением требований защиты информации в возглавляемом отделе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</w:p>
        </w:tc>
        <w:tc>
          <w:tcPr>
            <w:tcW w:type="dxa" w:w="3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Ответственность за нарушение требований защиты информации в отделе</w:t>
            </w:r>
          </w:p>
        </w:tc>
      </w:tr>
      <w:tr>
        <w:tblPrEx>
          <w:shd w:val="clear" w:color="auto" w:fill="ced7e7"/>
        </w:tblPrEx>
        <w:trPr>
          <w:trHeight w:val="958" w:hRule="atLeast"/>
        </w:trPr>
        <w:tc>
          <w:tcPr>
            <w:tcW w:type="dxa" w:w="21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Специалист отдела</w:t>
            </w:r>
          </w:p>
        </w:tc>
        <w:tc>
          <w:tcPr>
            <w:tcW w:type="dxa" w:w="41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 за выполнением требований защиты информации на рабочем месте</w:t>
            </w:r>
          </w:p>
        </w:tc>
        <w:tc>
          <w:tcPr>
            <w:tcW w:type="dxa" w:w="3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Ответственность за нарушение требований защиты информации</w:t>
            </w:r>
          </w:p>
        </w:tc>
      </w:tr>
    </w:tbl>
    <w:p>
      <w:pPr>
        <w:pStyle w:val="Normal.0"/>
        <w:widowControl w:val="0"/>
        <w:spacing w:line="240" w:lineRule="auto"/>
        <w:ind w:firstLine="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200" w:line="276" w:lineRule="auto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200" w:line="276" w:lineRule="auto"/>
        <w:ind w:firstLine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28"/>
          <w:szCs w:val="28"/>
        </w:rPr>
        <w:br w:type="page"/>
      </w:r>
    </w:p>
    <w:p>
      <w:pPr>
        <w:pStyle w:val="диплом заголовок 2"/>
      </w:pPr>
      <w:bookmarkStart w:name="_Toc20" w:id="20"/>
      <w:r>
        <w:rPr>
          <w:rFonts w:cs="Arial Unicode MS" w:eastAsia="Arial Unicode MS" w:hint="default"/>
          <w:rtl w:val="0"/>
          <w:lang w:val="ru-RU"/>
        </w:rPr>
        <w:t xml:space="preserve">Приложение </w:t>
      </w:r>
      <w:r>
        <w:rPr>
          <w:rFonts w:cs="Arial Unicode MS" w:eastAsia="Arial Unicode MS"/>
          <w:rtl w:val="0"/>
          <w:lang w:val="ru-RU"/>
        </w:rPr>
        <w:t>4</w:t>
      </w:r>
      <w:bookmarkEnd w:id="20"/>
    </w:p>
    <w:p>
      <w:pPr>
        <w:pStyle w:val="Normal.0"/>
        <w:tabs>
          <w:tab w:val="left" w:pos="1134"/>
        </w:tabs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Документационное обеспечение защиты конфиденциальной информации</w:t>
      </w:r>
    </w:p>
    <w:tbl>
      <w:tblPr>
        <w:tblW w:w="957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495"/>
        <w:gridCol w:w="2660"/>
        <w:gridCol w:w="3416"/>
      </w:tblGrid>
      <w:tr>
        <w:tblPrEx>
          <w:shd w:val="clear" w:color="auto" w:fill="ced7e7"/>
        </w:tblPrEx>
        <w:trPr>
          <w:trHeight w:val="638" w:hRule="atLeast"/>
        </w:trPr>
        <w:tc>
          <w:tcPr>
            <w:tcW w:type="dxa" w:w="34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Угроза</w:t>
            </w:r>
          </w:p>
        </w:tc>
        <w:tc>
          <w:tcPr>
            <w:tcW w:type="dxa" w:w="2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Технология защиты</w:t>
            </w:r>
          </w:p>
        </w:tc>
        <w:tc>
          <w:tcPr>
            <w:tcW w:type="dxa" w:w="3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Документационное обеспечение</w:t>
            </w:r>
          </w:p>
        </w:tc>
      </w:tr>
      <w:tr>
        <w:tblPrEx>
          <w:shd w:val="clear" w:color="auto" w:fill="ced7e7"/>
        </w:tblPrEx>
        <w:trPr>
          <w:trHeight w:val="1918" w:hRule="atLeast"/>
        </w:trPr>
        <w:tc>
          <w:tcPr>
            <w:tcW w:type="dxa" w:w="34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Визуальный съём отображаемой информации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присутствие посторонних лиц при обработке данных специалистом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2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Блокирование экрана с помощью электронных ключей</w:t>
            </w:r>
          </w:p>
        </w:tc>
        <w:tc>
          <w:tcPr>
            <w:tcW w:type="dxa" w:w="3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«Положение об обеспечении пропускного и внутриобъектового режима»</w:t>
            </w:r>
          </w:p>
        </w:tc>
      </w:tr>
      <w:tr>
        <w:tblPrEx>
          <w:shd w:val="clear" w:color="auto" w:fill="ced7e7"/>
        </w:tblPrEx>
        <w:trPr>
          <w:trHeight w:val="958" w:hRule="atLeast"/>
        </w:trPr>
        <w:tc>
          <w:tcPr>
            <w:tcW w:type="dxa" w:w="34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1134"/>
              </w:tabs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Активность вредоносного ПО</w:t>
            </w:r>
          </w:p>
        </w:tc>
        <w:tc>
          <w:tcPr>
            <w:tcW w:type="dxa" w:w="2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Установка антивирусных систем</w:t>
            </w:r>
          </w:p>
        </w:tc>
        <w:tc>
          <w:tcPr>
            <w:tcW w:type="dxa" w:w="3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«Положение об обеспечении защиты от вредоносного ПО» </w:t>
            </w:r>
          </w:p>
        </w:tc>
      </w:tr>
      <w:tr>
        <w:tblPrEx>
          <w:shd w:val="clear" w:color="auto" w:fill="ced7e7"/>
        </w:tblPrEx>
        <w:trPr>
          <w:trHeight w:val="958" w:hRule="atLeast"/>
        </w:trPr>
        <w:tc>
          <w:tcPr>
            <w:tcW w:type="dxa" w:w="34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Сетевые вторжения </w:t>
            </w:r>
          </w:p>
        </w:tc>
        <w:tc>
          <w:tcPr>
            <w:tcW w:type="dxa" w:w="2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Защита от сетевых угроз</w:t>
            </w:r>
          </w:p>
        </w:tc>
        <w:tc>
          <w:tcPr>
            <w:tcW w:type="dxa" w:w="3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Положение об обеспечении защиты от сетевых угроз</w:t>
            </w:r>
          </w:p>
        </w:tc>
      </w:tr>
      <w:tr>
        <w:tblPrEx>
          <w:shd w:val="clear" w:color="auto" w:fill="ced7e7"/>
        </w:tblPrEx>
        <w:trPr>
          <w:trHeight w:val="1278" w:hRule="atLeast"/>
        </w:trPr>
        <w:tc>
          <w:tcPr>
            <w:tcW w:type="dxa" w:w="34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Аппаратные закладки</w:t>
            </w:r>
          </w:p>
        </w:tc>
        <w:tc>
          <w:tcPr>
            <w:tcW w:type="dxa" w:w="2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Экспертные системы – анализаторы трафика</w:t>
            </w:r>
          </w:p>
        </w:tc>
        <w:tc>
          <w:tcPr>
            <w:tcW w:type="dxa" w:w="3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Журнал работы экспертных систем</w:t>
            </w:r>
          </w:p>
        </w:tc>
      </w:tr>
      <w:tr>
        <w:tblPrEx>
          <w:shd w:val="clear" w:color="auto" w:fill="ced7e7"/>
        </w:tblPrEx>
        <w:trPr>
          <w:trHeight w:val="1278" w:hRule="atLeast"/>
        </w:trPr>
        <w:tc>
          <w:tcPr>
            <w:tcW w:type="dxa" w:w="34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Программные закладки</w:t>
            </w:r>
          </w:p>
        </w:tc>
        <w:tc>
          <w:tcPr>
            <w:tcW w:type="dxa" w:w="2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Экспертные системы – анализаторы трафика</w:t>
            </w:r>
          </w:p>
        </w:tc>
        <w:tc>
          <w:tcPr>
            <w:tcW w:type="dxa" w:w="3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Журнал работы экспертных систем</w:t>
            </w:r>
          </w:p>
        </w:tc>
      </w:tr>
      <w:tr>
        <w:tblPrEx>
          <w:shd w:val="clear" w:color="auto" w:fill="ced7e7"/>
        </w:tblPrEx>
        <w:trPr>
          <w:trHeight w:val="1918" w:hRule="atLeast"/>
        </w:trPr>
        <w:tc>
          <w:tcPr>
            <w:tcW w:type="dxa" w:w="34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Несанкционированное копирование информации</w:t>
            </w:r>
          </w:p>
        </w:tc>
        <w:tc>
          <w:tcPr>
            <w:tcW w:type="dxa" w:w="2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Экспертные системы – анализаторы системы разграничения доступа</w:t>
            </w:r>
          </w:p>
        </w:tc>
        <w:tc>
          <w:tcPr>
            <w:tcW w:type="dxa" w:w="3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Журнал работы экспертных систем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Матрицы разграничения доступа </w:t>
            </w:r>
          </w:p>
        </w:tc>
      </w:tr>
      <w:tr>
        <w:tblPrEx>
          <w:shd w:val="clear" w:color="auto" w:fill="ced7e7"/>
        </w:tblPrEx>
        <w:trPr>
          <w:trHeight w:val="1918" w:hRule="atLeast"/>
        </w:trPr>
        <w:tc>
          <w:tcPr>
            <w:tcW w:type="dxa" w:w="34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Накопление информации пользователями ИСПД</w:t>
            </w:r>
          </w:p>
        </w:tc>
        <w:tc>
          <w:tcPr>
            <w:tcW w:type="dxa" w:w="2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Экспертные системы – анализаторы системы разграничения доступа</w:t>
            </w:r>
          </w:p>
        </w:tc>
        <w:tc>
          <w:tcPr>
            <w:tcW w:type="dxa" w:w="3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Журнал работы экспертных систем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Матрицы разграничения доступа </w:t>
            </w:r>
          </w:p>
        </w:tc>
      </w:tr>
      <w:tr>
        <w:tblPrEx>
          <w:shd w:val="clear" w:color="auto" w:fill="ced7e7"/>
        </w:tblPrEx>
        <w:trPr>
          <w:trHeight w:val="958" w:hRule="atLeast"/>
        </w:trPr>
        <w:tc>
          <w:tcPr>
            <w:tcW w:type="dxa" w:w="34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Программные ошибки</w:t>
            </w:r>
          </w:p>
        </w:tc>
        <w:tc>
          <w:tcPr>
            <w:tcW w:type="dxa" w:w="2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Информирование разработчиков</w:t>
            </w:r>
          </w:p>
        </w:tc>
        <w:tc>
          <w:tcPr>
            <w:tcW w:type="dxa" w:w="3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«Акт ввода в промышленную эксплуатацию»</w:t>
            </w:r>
          </w:p>
        </w:tc>
      </w:tr>
      <w:tr>
        <w:tblPrEx>
          <w:shd w:val="clear" w:color="auto" w:fill="ced7e7"/>
        </w:tblPrEx>
        <w:trPr>
          <w:trHeight w:val="1278" w:hRule="atLeast"/>
        </w:trPr>
        <w:tc>
          <w:tcPr>
            <w:tcW w:type="dxa" w:w="34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Ошибочные действия персонала</w:t>
            </w:r>
          </w:p>
        </w:tc>
        <w:tc>
          <w:tcPr>
            <w:tcW w:type="dxa" w:w="2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Программные средства защиты</w:t>
            </w:r>
          </w:p>
        </w:tc>
        <w:tc>
          <w:tcPr>
            <w:tcW w:type="dxa" w:w="3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«Лист ознакомления пользователя с инструкцией по работе с программой»</w:t>
            </w:r>
          </w:p>
        </w:tc>
      </w:tr>
      <w:tr>
        <w:tblPrEx>
          <w:shd w:val="clear" w:color="auto" w:fill="ced7e7"/>
        </w:tblPrEx>
        <w:trPr>
          <w:trHeight w:val="1598" w:hRule="atLeast"/>
        </w:trPr>
        <w:tc>
          <w:tcPr>
            <w:tcW w:type="dxa" w:w="34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Чрезвычайные ситуации</w:t>
            </w:r>
          </w:p>
        </w:tc>
        <w:tc>
          <w:tcPr>
            <w:tcW w:type="dxa" w:w="2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Копирование данных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определение порядка хранения резервных копий</w:t>
            </w:r>
          </w:p>
        </w:tc>
        <w:tc>
          <w:tcPr>
            <w:tcW w:type="dxa" w:w="3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Инструкция по работе с информационными ресурсами при возникновении чрезвычайных ситуаций</w:t>
            </w:r>
          </w:p>
        </w:tc>
      </w:tr>
      <w:tr>
        <w:tblPrEx>
          <w:shd w:val="clear" w:color="auto" w:fill="ced7e7"/>
        </w:tblPrEx>
        <w:trPr>
          <w:trHeight w:val="1598" w:hRule="atLeast"/>
        </w:trPr>
        <w:tc>
          <w:tcPr>
            <w:tcW w:type="dxa" w:w="34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Компрометация ЭЦП</w:t>
            </w:r>
          </w:p>
        </w:tc>
        <w:tc>
          <w:tcPr>
            <w:tcW w:type="dxa" w:w="2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Генерация новых ключей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расследование причин компрометации</w:t>
            </w:r>
          </w:p>
        </w:tc>
        <w:tc>
          <w:tcPr>
            <w:tcW w:type="dxa" w:w="3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«Инструкция по работе с криптографическими средствами»</w:t>
            </w:r>
          </w:p>
        </w:tc>
      </w:tr>
      <w:tr>
        <w:tblPrEx>
          <w:shd w:val="clear" w:color="auto" w:fill="ced7e7"/>
        </w:tblPrEx>
        <w:trPr>
          <w:trHeight w:val="1278" w:hRule="atLeast"/>
        </w:trPr>
        <w:tc>
          <w:tcPr>
            <w:tcW w:type="dxa" w:w="34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Компрометация пароля</w:t>
            </w:r>
          </w:p>
        </w:tc>
        <w:tc>
          <w:tcPr>
            <w:tcW w:type="dxa" w:w="2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Смена пароля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расследование причин компрометации</w:t>
            </w:r>
          </w:p>
        </w:tc>
        <w:tc>
          <w:tcPr>
            <w:tcW w:type="dxa" w:w="3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ind w:firstLine="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«Инструкция по парольной защите»</w:t>
            </w:r>
          </w:p>
        </w:tc>
      </w:tr>
    </w:tbl>
    <w:p>
      <w:pPr>
        <w:pStyle w:val="Normal.0"/>
        <w:widowControl w:val="0"/>
        <w:tabs>
          <w:tab w:val="left" w:pos="1134"/>
        </w:tabs>
        <w:spacing w:line="240" w:lineRule="auto"/>
        <w:ind w:firstLine="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jc w:val="both"/>
      </w:pPr>
      <w:r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r>
    </w:p>
    <w:sectPr>
      <w:headerReference w:type="default" r:id="rId21"/>
      <w:pgSz w:w="11900" w:h="16840" w:orient="portrait"/>
      <w:pgMar w:top="1134" w:right="850" w:bottom="1134" w:left="1701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ourier Ne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center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center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/>
  </w:p>
</w:ftr>
</file>

<file path=word/footer3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center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/>
  </w:p>
</w:ftr>
</file>

<file path=word/footer4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center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10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1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3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4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5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6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7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8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9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Импортированный стиль 3"/>
  </w:abstractNum>
  <w:abstractNum w:abstractNumId="1">
    <w:multiLevelType w:val="hybridMultilevel"/>
    <w:styleLink w:val="Импортированный стиль 3"/>
    <w:lvl w:ilvl="0">
      <w:start w:val="1"/>
      <w:numFmt w:val="bullet"/>
      <w:suff w:val="tab"/>
      <w:lvlText w:val="¾"/>
      <w:lvlJc w:val="left"/>
      <w:pPr>
        <w:tabs>
          <w:tab w:val="num" w:pos="708"/>
        </w:tabs>
        <w:ind w:left="351" w:firstLine="6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077"/>
        </w:tabs>
        <w:ind w:left="720" w:firstLine="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num" w:pos="1797"/>
        </w:tabs>
        <w:ind w:left="1440" w:firstLine="3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num" w:pos="2517"/>
        </w:tabs>
        <w:ind w:left="2160" w:firstLine="42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num" w:pos="3237"/>
        </w:tabs>
        <w:ind w:left="2880" w:firstLine="5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num" w:pos="3957"/>
        </w:tabs>
        <w:ind w:left="3600" w:firstLine="6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num" w:pos="4677"/>
        </w:tabs>
        <w:ind w:left="4320" w:firstLine="7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num" w:pos="5397"/>
        </w:tabs>
        <w:ind w:left="5040" w:firstLine="9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num" w:pos="6117"/>
        </w:tabs>
        <w:ind w:left="5760" w:firstLine="10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Импортированный стиль 4"/>
  </w:abstractNum>
  <w:abstractNum w:abstractNumId="3">
    <w:multiLevelType w:val="hybridMultilevel"/>
    <w:styleLink w:val="Импортированный стиль 4"/>
    <w:lvl w:ilvl="0">
      <w:start w:val="1"/>
      <w:numFmt w:val="bullet"/>
      <w:suff w:val="tab"/>
      <w:lvlText w:val="·"/>
      <w:lvlJc w:val="left"/>
      <w:pPr>
        <w:tabs>
          <w:tab w:val="num" w:pos="1416"/>
        </w:tabs>
        <w:ind w:left="707" w:firstLine="2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429"/>
        </w:tabs>
        <w:ind w:left="720" w:firstLine="1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num" w:pos="2149"/>
        </w:tabs>
        <w:ind w:left="1440" w:firstLine="2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num" w:pos="2869"/>
        </w:tabs>
        <w:ind w:left="2160" w:firstLine="3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num" w:pos="3589"/>
        </w:tabs>
        <w:ind w:left="2880" w:firstLine="5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num" w:pos="4309"/>
        </w:tabs>
        <w:ind w:left="3600" w:firstLine="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num" w:pos="5029"/>
        </w:tabs>
        <w:ind w:left="4320" w:firstLine="7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num" w:pos="5749"/>
        </w:tabs>
        <w:ind w:left="5040" w:firstLine="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num" w:pos="6469"/>
        </w:tabs>
        <w:ind w:left="5760" w:firstLine="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Импортированный стиль 5"/>
  </w:abstractNum>
  <w:abstractNum w:abstractNumId="5">
    <w:multiLevelType w:val="hybridMultilevel"/>
    <w:styleLink w:val="Импортированный стиль 5"/>
    <w:lvl w:ilvl="0">
      <w:start w:val="1"/>
      <w:numFmt w:val="bullet"/>
      <w:suff w:val="tab"/>
      <w:lvlText w:val="·"/>
      <w:lvlJc w:val="left"/>
      <w:pPr>
        <w:tabs>
          <w:tab w:val="num" w:pos="1416"/>
        </w:tabs>
        <w:ind w:left="707" w:firstLine="2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429"/>
        </w:tabs>
        <w:ind w:left="720" w:firstLine="1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num" w:pos="2149"/>
        </w:tabs>
        <w:ind w:left="1440" w:firstLine="2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num" w:pos="2869"/>
        </w:tabs>
        <w:ind w:left="2160" w:firstLine="3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num" w:pos="3589"/>
        </w:tabs>
        <w:ind w:left="2880" w:firstLine="5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num" w:pos="4309"/>
        </w:tabs>
        <w:ind w:left="3600" w:firstLine="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num" w:pos="5029"/>
        </w:tabs>
        <w:ind w:left="4320" w:firstLine="7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num" w:pos="5749"/>
        </w:tabs>
        <w:ind w:left="5040" w:firstLine="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num" w:pos="6469"/>
        </w:tabs>
        <w:ind w:left="5760" w:firstLine="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Импортированный стиль 6"/>
  </w:abstractNum>
  <w:abstractNum w:abstractNumId="7">
    <w:multiLevelType w:val="hybridMultilevel"/>
    <w:styleLink w:val="Импортированный стиль 6"/>
    <w:lvl w:ilvl="0">
      <w:start w:val="1"/>
      <w:numFmt w:val="bullet"/>
      <w:suff w:val="tab"/>
      <w:lvlText w:val="·"/>
      <w:lvlJc w:val="left"/>
      <w:pPr>
        <w:tabs>
          <w:tab w:val="num" w:pos="1416"/>
        </w:tabs>
        <w:ind w:left="707" w:firstLine="2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121"/>
        </w:tabs>
        <w:ind w:left="412" w:firstLine="29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num" w:pos="1724"/>
        </w:tabs>
        <w:ind w:left="1015" w:firstLine="309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num" w:pos="2444"/>
        </w:tabs>
        <w:ind w:left="1735" w:firstLine="32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num" w:pos="3164"/>
        </w:tabs>
        <w:ind w:left="2455" w:firstLine="333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num" w:pos="3884"/>
        </w:tabs>
        <w:ind w:left="3175" w:firstLine="345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num" w:pos="4604"/>
        </w:tabs>
        <w:ind w:left="3895" w:firstLine="357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num" w:pos="5324"/>
        </w:tabs>
        <w:ind w:left="4615" w:firstLine="369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num" w:pos="6044"/>
        </w:tabs>
        <w:ind w:left="5335" w:firstLine="381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numStyleLink w:val="Импортированный стиль 7"/>
  </w:abstractNum>
  <w:abstractNum w:abstractNumId="9">
    <w:multiLevelType w:val="hybridMultilevel"/>
    <w:styleLink w:val="Импортированный стиль 7"/>
    <w:lvl w:ilvl="0">
      <w:start w:val="1"/>
      <w:numFmt w:val="bullet"/>
      <w:suff w:val="tab"/>
      <w:lvlText w:val="¾"/>
      <w:lvlJc w:val="left"/>
      <w:pPr>
        <w:tabs>
          <w:tab w:val="num" w:pos="708"/>
        </w:tabs>
        <w:ind w:left="351" w:firstLine="6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077"/>
        </w:tabs>
        <w:ind w:left="720" w:firstLine="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num" w:pos="1797"/>
        </w:tabs>
        <w:ind w:left="1440" w:firstLine="3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num" w:pos="2517"/>
        </w:tabs>
        <w:ind w:left="2160" w:firstLine="42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num" w:pos="3237"/>
        </w:tabs>
        <w:ind w:left="2880" w:firstLine="5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num" w:pos="3957"/>
        </w:tabs>
        <w:ind w:left="3600" w:firstLine="6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num" w:pos="4677"/>
        </w:tabs>
        <w:ind w:left="4320" w:firstLine="7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num" w:pos="5397"/>
        </w:tabs>
        <w:ind w:left="5040" w:firstLine="9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num" w:pos="6117"/>
        </w:tabs>
        <w:ind w:left="5760" w:firstLine="10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multiLevelType w:val="hybridMultilevel"/>
    <w:numStyleLink w:val="Импортированный стиль 8"/>
  </w:abstractNum>
  <w:abstractNum w:abstractNumId="11">
    <w:multiLevelType w:val="hybridMultilevel"/>
    <w:styleLink w:val="Импортированный стиль 8"/>
    <w:lvl w:ilvl="0">
      <w:start w:val="1"/>
      <w:numFmt w:val="bullet"/>
      <w:suff w:val="tab"/>
      <w:lvlText w:val="·"/>
      <w:lvlJc w:val="left"/>
      <w:pPr>
        <w:tabs>
          <w:tab w:val="left" w:pos="720"/>
          <w:tab w:val="num" w:pos="1416"/>
        </w:tabs>
        <w:ind w:left="707" w:firstLine="2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  <w:tab w:val="num" w:pos="1429"/>
        </w:tabs>
        <w:ind w:left="720" w:firstLine="1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  <w:tab w:val="num" w:pos="2149"/>
        </w:tabs>
        <w:ind w:left="1440" w:firstLine="2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  <w:tab w:val="num" w:pos="2869"/>
        </w:tabs>
        <w:ind w:left="2160" w:firstLine="3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  <w:tab w:val="num" w:pos="3589"/>
        </w:tabs>
        <w:ind w:left="2880" w:firstLine="5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  <w:tab w:val="num" w:pos="4309"/>
        </w:tabs>
        <w:ind w:left="3600" w:firstLine="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  <w:tab w:val="num" w:pos="5029"/>
        </w:tabs>
        <w:ind w:left="4320" w:firstLine="7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  <w:tab w:val="num" w:pos="5749"/>
        </w:tabs>
        <w:ind w:left="5040" w:firstLine="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  <w:tab w:val="num" w:pos="6469"/>
        </w:tabs>
        <w:ind w:left="5760" w:firstLine="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2">
    <w:multiLevelType w:val="hybridMultilevel"/>
    <w:numStyleLink w:val="Импортированный стиль 9"/>
  </w:abstractNum>
  <w:abstractNum w:abstractNumId="13">
    <w:multiLevelType w:val="hybridMultilevel"/>
    <w:styleLink w:val="Импортированный стиль 9"/>
    <w:lvl w:ilvl="0">
      <w:start w:val="1"/>
      <w:numFmt w:val="bullet"/>
      <w:suff w:val="tab"/>
      <w:lvlText w:val="-"/>
      <w:lvlJc w:val="left"/>
      <w:pPr>
        <w:ind w:left="106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78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50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322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94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66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38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610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82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4">
    <w:multiLevelType w:val="hybridMultilevel"/>
    <w:numStyleLink w:val="Импортированный стиль 10"/>
  </w:abstractNum>
  <w:abstractNum w:abstractNumId="15">
    <w:multiLevelType w:val="hybridMultilevel"/>
    <w:styleLink w:val="Импортированный стиль 10"/>
    <w:lvl w:ilvl="0">
      <w:start w:val="1"/>
      <w:numFmt w:val="decimal"/>
      <w:suff w:val="tab"/>
      <w:lvlText w:val="%1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2149"/>
        </w:tabs>
        <w:ind w:left="144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4309"/>
        </w:tabs>
        <w:ind w:left="3600" w:firstLine="1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multiLevelType w:val="hybridMultilevel"/>
    <w:numStyleLink w:val="Импортированный стиль 11"/>
  </w:abstractNum>
  <w:abstractNum w:abstractNumId="17">
    <w:multiLevelType w:val="hybridMultilevel"/>
    <w:styleLink w:val="Импортированный стиль 11"/>
    <w:lvl w:ilvl="0">
      <w:start w:val="1"/>
      <w:numFmt w:val="decimal"/>
      <w:suff w:val="tab"/>
      <w:lvlText w:val="%1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440" w:hanging="6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160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288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600" w:hanging="6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320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040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5760" w:hanging="5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multiLevelType w:val="hybridMultilevel"/>
    <w:numStyleLink w:val="Импортированный стиль 12"/>
  </w:abstractNum>
  <w:abstractNum w:abstractNumId="19">
    <w:multiLevelType w:val="hybridMultilevel"/>
    <w:styleLink w:val="Импортированный стиль 12"/>
    <w:lvl w:ilvl="0">
      <w:start w:val="1"/>
      <w:numFmt w:val="decimal"/>
      <w:suff w:val="tab"/>
      <w:lvlText w:val="%1."/>
      <w:lvlJc w:val="left"/>
      <w:pPr>
        <w:ind w:left="10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7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509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32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94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669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3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61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829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multiLevelType w:val="hybridMultilevel"/>
    <w:numStyleLink w:val="Импортированный стиль 13"/>
  </w:abstractNum>
  <w:abstractNum w:abstractNumId="21">
    <w:multiLevelType w:val="hybridMultilevel"/>
    <w:styleLink w:val="Импортированный стиль 13"/>
    <w:lvl w:ilvl="0">
      <w:start w:val="1"/>
      <w:numFmt w:val="decimal"/>
      <w:suff w:val="tab"/>
      <w:lvlText w:val="%1."/>
      <w:lvlJc w:val="left"/>
      <w:pPr>
        <w:tabs>
          <w:tab w:val="left" w:pos="426"/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left" w:pos="426"/>
          <w:tab w:val="num" w:pos="1404"/>
        </w:tabs>
        <w:ind w:left="695" w:firstLine="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426"/>
          <w:tab w:val="num" w:pos="2119"/>
        </w:tabs>
        <w:ind w:left="141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426"/>
          <w:tab w:val="num" w:pos="2839"/>
        </w:tabs>
        <w:ind w:left="2130" w:firstLine="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426"/>
          <w:tab w:val="num" w:pos="3559"/>
        </w:tabs>
        <w:ind w:left="285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426"/>
          <w:tab w:val="num" w:pos="4279"/>
        </w:tabs>
        <w:ind w:left="3570" w:firstLine="1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426"/>
          <w:tab w:val="num" w:pos="4999"/>
        </w:tabs>
        <w:ind w:left="4290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426"/>
          <w:tab w:val="num" w:pos="5719"/>
        </w:tabs>
        <w:ind w:left="501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left" w:pos="426"/>
          <w:tab w:val="num" w:pos="6439"/>
        </w:tabs>
        <w:ind w:left="5730" w:firstLine="1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  <w:num w:numId="11">
    <w:abstractNumId w:val="11"/>
  </w:num>
  <w:num w:numId="12">
    <w:abstractNumId w:val="10"/>
  </w:num>
  <w:num w:numId="13">
    <w:abstractNumId w:val="13"/>
  </w:num>
  <w:num w:numId="14">
    <w:abstractNumId w:val="12"/>
  </w:num>
  <w:num w:numId="15">
    <w:abstractNumId w:val="15"/>
  </w:num>
  <w:num w:numId="16">
    <w:abstractNumId w:val="14"/>
  </w:num>
  <w:num w:numId="17">
    <w:abstractNumId w:val="17"/>
  </w:num>
  <w:num w:numId="18">
    <w:abstractNumId w:val="16"/>
  </w:num>
  <w:num w:numId="19">
    <w:abstractNumId w:val="19"/>
  </w:num>
  <w:num w:numId="20">
    <w:abstractNumId w:val="18"/>
  </w:num>
  <w:num w:numId="21">
    <w:abstractNumId w:val="2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709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360" w:lineRule="auto"/>
      <w:ind w:left="0" w:right="0" w:firstLine="709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TNR 14 1.5">
    <w:name w:val="TNR 14 1.5"/>
    <w:next w:val="TNR 14 1.5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360" w:lineRule="auto"/>
      <w:ind w:left="0" w:right="0" w:firstLine="709"/>
      <w:jc w:val="both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TOC Heading">
    <w:name w:val="TOC Heading"/>
    <w:next w:val="Normal.0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0" w:after="0" w:line="276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TOC 1">
    <w:name w:val="TOC 1"/>
    <w:next w:val="TOC 1"/>
    <w:pPr>
      <w:keepNext w:val="0"/>
      <w:keepLines w:val="0"/>
      <w:pageBreakBefore w:val="0"/>
      <w:widowControl w:val="1"/>
      <w:shd w:val="clear" w:color="auto" w:fill="auto"/>
      <w:tabs>
        <w:tab w:val="right" w:pos="9061" w:leader="dot"/>
      </w:tabs>
      <w:suppressAutoHyphens w:val="0"/>
      <w:bidi w:val="0"/>
      <w:spacing w:before="0" w:after="0" w:line="360" w:lineRule="auto"/>
      <w:ind w:left="0" w:right="0" w:firstLine="0"/>
      <w:jc w:val="both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heading 1">
    <w:name w:val="heading 1"/>
    <w:next w:val="Normal.0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0" w:after="0" w:line="360" w:lineRule="auto"/>
      <w:ind w:left="0" w:right="0" w:firstLine="709"/>
      <w:jc w:val="left"/>
      <w:outlineLvl w:val="0"/>
    </w:pPr>
    <w:rPr>
      <w:rFonts w:ascii="Times New Roman" w:cs="Times New Roman" w:hAnsi="Times New Roman" w:eastAsia="Times New Roman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TOC 2">
    <w:name w:val="TOC 2"/>
    <w:next w:val="TOC 2"/>
    <w:pPr>
      <w:keepNext w:val="0"/>
      <w:keepLines w:val="0"/>
      <w:pageBreakBefore w:val="0"/>
      <w:widowControl w:val="1"/>
      <w:shd w:val="clear" w:color="auto" w:fill="auto"/>
      <w:tabs>
        <w:tab w:val="right" w:pos="9061" w:leader="dot"/>
      </w:tabs>
      <w:suppressAutoHyphens w:val="0"/>
      <w:bidi w:val="0"/>
      <w:spacing w:before="0" w:after="0" w:line="360" w:lineRule="auto"/>
      <w:ind w:left="0" w:right="0" w:firstLine="0"/>
      <w:jc w:val="both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heading 2">
    <w:name w:val="heading 2"/>
    <w:next w:val="Normal.0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240" w:after="60" w:line="240" w:lineRule="auto"/>
      <w:ind w:left="0" w:right="0" w:firstLine="0"/>
      <w:jc w:val="left"/>
      <w:outlineLvl w:val="1"/>
    </w:pPr>
    <w:rPr>
      <w:rFonts w:ascii="Arial" w:cs="Arial" w:hAnsi="Arial" w:eastAsia="Arial"/>
      <w:b w:val="1"/>
      <w:bCs w:val="1"/>
      <w:i w:val="1"/>
      <w:iCs w:val="1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TOC 3">
    <w:name w:val="TOC 3"/>
    <w:next w:val="TOC 3"/>
    <w:pPr>
      <w:keepNext w:val="0"/>
      <w:keepLines w:val="0"/>
      <w:pageBreakBefore w:val="0"/>
      <w:widowControl w:val="1"/>
      <w:shd w:val="clear" w:color="auto" w:fill="auto"/>
      <w:tabs>
        <w:tab w:val="right" w:pos="9061" w:leader="dot"/>
      </w:tabs>
      <w:suppressAutoHyphens w:val="0"/>
      <w:bidi w:val="0"/>
      <w:spacing w:before="0" w:after="0" w:line="360" w:lineRule="auto"/>
      <w:ind w:left="0" w:right="0" w:firstLine="0"/>
      <w:jc w:val="both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диплом заголовок 2">
    <w:name w:val="диплом заголовок 2"/>
    <w:next w:val="диплом заголовок 2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0" w:after="0" w:line="360" w:lineRule="auto"/>
      <w:ind w:left="0" w:right="0" w:firstLine="709"/>
      <w:jc w:val="both"/>
      <w:outlineLvl w:val="2"/>
    </w:pPr>
    <w:rPr>
      <w:rFonts w:ascii="Times New Roman" w:cs="Times New Roman" w:hAnsi="Times New Roman" w:eastAsia="Times New Roman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28"/>
      <w:szCs w:val="28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709"/>
      <w:jc w:val="both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numbering" w:styleId="Импортированный стиль 3">
    <w:name w:val="Импортированный стиль 3"/>
    <w:pPr>
      <w:numPr>
        <w:numId w:val="1"/>
      </w:numPr>
    </w:pPr>
  </w:style>
  <w:style w:type="paragraph" w:styleId="А">
    <w:name w:val="А"/>
    <w:next w:val="А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360" w:lineRule="auto"/>
      <w:ind w:left="0" w:right="0" w:firstLine="709"/>
      <w:jc w:val="both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0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:lang w:val="ru-RU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HTML Preformatted">
    <w:name w:val="HTML Preformatted"/>
    <w:next w:val="HTML Preformatted"/>
    <w:pPr>
      <w:keepNext w:val="0"/>
      <w:keepLines w:val="0"/>
      <w:pageBreakBefore w:val="0"/>
      <w:widowControl w:val="1"/>
      <w:shd w:val="clear" w:color="auto" w:fill="auto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urier New" w:cs="Courier New" w:hAnsi="Courier New" w:eastAsia="Courier New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360" w:lineRule="auto"/>
      <w:ind w:left="720" w:right="0" w:firstLine="709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numbering" w:styleId="Импортированный стиль 4">
    <w:name w:val="Импортированный стиль 4"/>
    <w:pPr>
      <w:numPr>
        <w:numId w:val="3"/>
      </w:numPr>
    </w:pPr>
  </w:style>
  <w:style w:type="paragraph" w:styleId="caption.0">
    <w:name w:val="caption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40" w:lineRule="auto"/>
      <w:ind w:left="0" w:right="0" w:firstLine="709"/>
      <w:jc w:val="left"/>
      <w:outlineLvl w:val="9"/>
    </w:pPr>
    <w:rPr>
      <w:rFonts w:ascii="Calibri" w:cs="Arial Unicode MS" w:hAnsi="Calibri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4f81bd"/>
      <w:spacing w:val="0"/>
      <w:kern w:val="0"/>
      <w:position w:val="0"/>
      <w:sz w:val="18"/>
      <w:szCs w:val="18"/>
      <w:u w:val="none" w:color="4f81bd"/>
      <w:shd w:val="nil" w:color="auto" w:fill="auto"/>
      <w:vertAlign w:val="baseline"/>
      <w:lang w:val="ru-RU"/>
      <w14:textFill>
        <w14:solidFill>
          <w14:srgbClr w14:val="4F81BD"/>
        </w14:solidFill>
      </w14:textFill>
    </w:rPr>
  </w:style>
  <w:style w:type="paragraph" w:styleId="Body Text Indent 2">
    <w:name w:val="Body Text Indent 2"/>
    <w:next w:val="Body Text Indent 2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120" w:line="480" w:lineRule="auto"/>
      <w:ind w:left="283" w:right="0" w:firstLine="0"/>
      <w:jc w:val="both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numbering" w:styleId="Импортированный стиль 5">
    <w:name w:val="Импортированный стиль 5"/>
    <w:pPr>
      <w:numPr>
        <w:numId w:val="5"/>
      </w:numPr>
    </w:pPr>
  </w:style>
  <w:style w:type="numbering" w:styleId="Импортированный стиль 6">
    <w:name w:val="Импортированный стиль 6"/>
    <w:pPr>
      <w:numPr>
        <w:numId w:val="7"/>
      </w:numPr>
    </w:pPr>
  </w:style>
  <w:style w:type="numbering" w:styleId="Импортированный стиль 7">
    <w:name w:val="Импортированный стиль 7"/>
    <w:pPr>
      <w:numPr>
        <w:numId w:val="9"/>
      </w:numPr>
    </w:pPr>
  </w:style>
  <w:style w:type="numbering" w:styleId="Импортированный стиль 8">
    <w:name w:val="Импортированный стиль 8"/>
    <w:pPr>
      <w:numPr>
        <w:numId w:val="11"/>
      </w:numPr>
    </w:pPr>
  </w:style>
  <w:style w:type="numbering" w:styleId="Импортированный стиль 9">
    <w:name w:val="Импортированный стиль 9"/>
    <w:pPr>
      <w:numPr>
        <w:numId w:val="13"/>
      </w:numPr>
    </w:pPr>
  </w:style>
  <w:style w:type="numbering" w:styleId="Импортированный стиль 10">
    <w:name w:val="Импортированный стиль 10"/>
    <w:pPr>
      <w:numPr>
        <w:numId w:val="15"/>
      </w:numPr>
    </w:pPr>
  </w:style>
  <w:style w:type="numbering" w:styleId="Импортированный стиль 11">
    <w:name w:val="Импортированный стиль 11"/>
    <w:pPr>
      <w:numPr>
        <w:numId w:val="17"/>
      </w:numPr>
    </w:pPr>
  </w:style>
  <w:style w:type="numbering" w:styleId="Импортированный стиль 12">
    <w:name w:val="Импортированный стиль 12"/>
    <w:pPr>
      <w:numPr>
        <w:numId w:val="19"/>
      </w:numPr>
    </w:pPr>
  </w:style>
  <w:style w:type="numbering" w:styleId="Импортированный стиль 13">
    <w:name w:val="Импортированный стиль 13"/>
    <w:pPr>
      <w:numPr>
        <w:numId w:val="2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header" Target="header4.xml"/><Relationship Id="rId11" Type="http://schemas.openxmlformats.org/officeDocument/2006/relationships/footer" Target="footer3.xml"/><Relationship Id="rId12" Type="http://schemas.openxmlformats.org/officeDocument/2006/relationships/footer" Target="footer4.xml"/><Relationship Id="rId13" Type="http://schemas.openxmlformats.org/officeDocument/2006/relationships/header" Target="header5.xml"/><Relationship Id="rId14" Type="http://schemas.openxmlformats.org/officeDocument/2006/relationships/header" Target="header6.xml"/><Relationship Id="rId15" Type="http://schemas.openxmlformats.org/officeDocument/2006/relationships/header" Target="header7.xml"/><Relationship Id="rId16" Type="http://schemas.openxmlformats.org/officeDocument/2006/relationships/header" Target="header8.xml"/><Relationship Id="rId17" Type="http://schemas.openxmlformats.org/officeDocument/2006/relationships/header" Target="header9.xml"/><Relationship Id="rId18" Type="http://schemas.openxmlformats.org/officeDocument/2006/relationships/header" Target="header10.xml"/><Relationship Id="rId19" Type="http://schemas.openxmlformats.org/officeDocument/2006/relationships/image" Target="media/image1.gif"/><Relationship Id="rId20" Type="http://schemas.openxmlformats.org/officeDocument/2006/relationships/image" Target="media/image2.png"/><Relationship Id="rId21" Type="http://schemas.openxmlformats.org/officeDocument/2006/relationships/header" Target="header11.xml"/><Relationship Id="rId22" Type="http://schemas.openxmlformats.org/officeDocument/2006/relationships/numbering" Target="numbering.xml"/><Relationship Id="rId23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